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B1F89">
      <w:pPr>
        <w:spacing w:line="560" w:lineRule="exact"/>
        <w:jc w:val="center"/>
        <w:rPr>
          <w:rFonts w:hint="eastAsia" w:ascii="方正小标宋简体" w:eastAsia="方正小标宋简体"/>
          <w:sz w:val="36"/>
          <w:szCs w:val="36"/>
        </w:rPr>
      </w:pPr>
      <w:r>
        <w:rPr>
          <w:rFonts w:hint="eastAsia" w:ascii="方正小标宋简体" w:eastAsia="方正小标宋简体"/>
          <w:sz w:val="36"/>
          <w:szCs w:val="36"/>
        </w:rPr>
        <w:t>北京怀柔科学城管理委员会</w:t>
      </w:r>
    </w:p>
    <w:p w14:paraId="28550A0E">
      <w:pPr>
        <w:spacing w:line="560" w:lineRule="exact"/>
        <w:jc w:val="center"/>
        <w:rPr>
          <w:rFonts w:hint="eastAsia" w:ascii="方正小标宋简体" w:eastAsia="方正小标宋简体"/>
          <w:sz w:val="36"/>
          <w:szCs w:val="36"/>
        </w:rPr>
      </w:pPr>
      <w:r>
        <w:rPr>
          <w:rFonts w:hint="eastAsia" w:ascii="方正小标宋简体" w:eastAsia="方正小标宋简体"/>
          <w:sz w:val="36"/>
          <w:szCs w:val="36"/>
        </w:rPr>
        <w:t>部门整体绩效评价报告</w:t>
      </w:r>
    </w:p>
    <w:p w14:paraId="6791DCE3">
      <w:pPr>
        <w:jc w:val="center"/>
        <w:rPr>
          <w:rFonts w:ascii="仿宋_GB2312"/>
          <w:szCs w:val="30"/>
        </w:rPr>
      </w:pPr>
    </w:p>
    <w:p w14:paraId="3B3B4437">
      <w:pPr>
        <w:spacing w:line="600" w:lineRule="exact"/>
        <w:ind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14:paraId="34E86294">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（一）机构设置及职责工作任务情况</w:t>
      </w:r>
    </w:p>
    <w:p w14:paraId="3B21302C">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根据京编委〔2017〕50号文件、京编办行〔2019〕170号文件规定，设立北京怀柔科学城管理委员会，部门性质为市政府派出机构。主要职责是：</w:t>
      </w:r>
    </w:p>
    <w:p w14:paraId="624620AE">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1.组织编制怀柔科学城建设和发展的各项规划，按程序报批后组织实施。</w:t>
      </w:r>
    </w:p>
    <w:p w14:paraId="6AC3CDEE">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2.贯彻落实国家及本市有关改革要求，研究提出促进怀柔科学城创新发展的政策措施。</w:t>
      </w:r>
    </w:p>
    <w:p w14:paraId="264318CC">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3.根据授权负责怀柔科学城范围内经济发展、项目建设、投融资服务、人才资源等领域的管理工作。</w:t>
      </w:r>
    </w:p>
    <w:p w14:paraId="2AF7574E">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4.培育和发展科技服务业和高精尖产业，服务保障项目落地。</w:t>
      </w:r>
    </w:p>
    <w:p w14:paraId="1754208B">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5.推进怀柔科学城管理和服务体制机制创新，优化营商环境，强化服务功能，促进央地合作、军民融合发展。</w:t>
      </w:r>
    </w:p>
    <w:p w14:paraId="19F3A4E3">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6.协调解决怀柔科学城规划建设中的重点难点问题。</w:t>
      </w:r>
    </w:p>
    <w:p w14:paraId="23BF6ABF">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7.按权限协调开展应急管理、安全生产、综治维稳、环境保护等工作。</w:t>
      </w:r>
    </w:p>
    <w:p w14:paraId="08B69348">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8.对所出资企业履行国有资产出资人职责。</w:t>
      </w:r>
    </w:p>
    <w:p w14:paraId="38DA8D54">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9.根据授权在怀柔科学城规划范围内行使有关市级管理权限。</w:t>
      </w:r>
    </w:p>
    <w:p w14:paraId="7DD49577">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10.完成市政府交办的其他事项。</w:t>
      </w:r>
    </w:p>
    <w:p w14:paraId="23B87EC3">
      <w:pPr>
        <w:spacing w:line="600" w:lineRule="exact"/>
        <w:ind w:firstLine="640" w:firstLineChars="200"/>
        <w:rPr>
          <w:rFonts w:hint="eastAsia" w:ascii="楷体_GB2312" w:eastAsia="楷体_GB2312"/>
          <w:sz w:val="32"/>
          <w:szCs w:val="32"/>
        </w:rPr>
      </w:pPr>
      <w:r>
        <w:rPr>
          <w:rFonts w:hint="eastAsia" w:ascii="仿宋_GB2312" w:hAnsi="宋体" w:eastAsia="仿宋_GB2312" w:cs="宋体"/>
          <w:color w:val="000000"/>
          <w:kern w:val="0"/>
          <w:sz w:val="32"/>
          <w:szCs w:val="32"/>
          <w:highlight w:val="none"/>
        </w:rPr>
        <w:t>根据京编办复〔2022〕129号文件规定，怀柔科学城党工委、管委会内设8个处室，分别为：设办公室、发展改革与政策研究处、规划建设处、设施平台处、成果转化与创新协调处、交流合作与人才工作处、财经管理处、机关党委（组织人事处）。</w:t>
      </w:r>
    </w:p>
    <w:p w14:paraId="14224332">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（二）部门整体绩效目标设立情况</w:t>
      </w:r>
    </w:p>
    <w:p w14:paraId="6FBEC755">
      <w:pPr>
        <w:spacing w:line="600" w:lineRule="exact"/>
        <w:ind w:firstLine="640" w:firstLineChars="200"/>
        <w:rPr>
          <w:rFonts w:hint="eastAsia" w:ascii="楷体_GB2312" w:eastAsia="楷体_GB2312"/>
          <w:sz w:val="32"/>
          <w:szCs w:val="32"/>
        </w:rPr>
      </w:pPr>
      <w:r>
        <w:rPr>
          <w:rFonts w:hint="eastAsia" w:ascii="仿宋_GB2312" w:hAnsi="宋体" w:eastAsia="仿宋_GB2312" w:cs="宋体"/>
          <w:color w:val="000000"/>
          <w:kern w:val="0"/>
          <w:sz w:val="32"/>
          <w:szCs w:val="32"/>
          <w:highlight w:val="none"/>
        </w:rPr>
        <w:t>部门整体绩效指标根据市委、市政府安排重点工作、部门全年任务清单、结合内设机构职责分工共设置绩效目标</w:t>
      </w:r>
      <w:r>
        <w:rPr>
          <w:rFonts w:hint="eastAsia" w:ascii="仿宋_GB2312" w:hAnsi="宋体" w:eastAsia="仿宋_GB2312" w:cs="宋体"/>
          <w:color w:val="000000"/>
          <w:kern w:val="0"/>
          <w:sz w:val="32"/>
          <w:szCs w:val="32"/>
          <w:highlight w:val="none"/>
          <w:lang w:val="en-US" w:eastAsia="zh-CN"/>
        </w:rPr>
        <w:t>15</w:t>
      </w:r>
      <w:r>
        <w:rPr>
          <w:rFonts w:hint="eastAsia" w:ascii="仿宋_GB2312" w:hAnsi="宋体" w:eastAsia="仿宋_GB2312" w:cs="宋体"/>
          <w:color w:val="000000"/>
          <w:kern w:val="0"/>
          <w:sz w:val="32"/>
          <w:szCs w:val="32"/>
          <w:highlight w:val="none"/>
        </w:rPr>
        <w:t>项，涉及开发建设管理、设施平台服务保障、科技成果转化、产业发展服务</w:t>
      </w:r>
      <w:r>
        <w:rPr>
          <w:rFonts w:hint="eastAsia" w:ascii="仿宋_GB2312" w:hAnsi="宋体" w:eastAsia="仿宋_GB2312" w:cs="宋体"/>
          <w:color w:val="000000"/>
          <w:kern w:val="0"/>
          <w:sz w:val="32"/>
          <w:szCs w:val="32"/>
          <w:highlight w:val="none"/>
          <w:lang w:eastAsia="zh-CN"/>
        </w:rPr>
        <w:t>、政策研究</w:t>
      </w:r>
      <w:r>
        <w:rPr>
          <w:rFonts w:hint="eastAsia" w:ascii="仿宋_GB2312" w:hAnsi="宋体" w:eastAsia="仿宋_GB2312" w:cs="宋体"/>
          <w:color w:val="000000"/>
          <w:kern w:val="0"/>
          <w:sz w:val="32"/>
          <w:szCs w:val="32"/>
          <w:highlight w:val="none"/>
        </w:rPr>
        <w:t>等</w:t>
      </w:r>
      <w:r>
        <w:rPr>
          <w:rFonts w:hint="eastAsia" w:ascii="仿宋_GB2312" w:hAnsi="宋体" w:eastAsia="仿宋_GB2312" w:cs="宋体"/>
          <w:color w:val="000000"/>
          <w:kern w:val="0"/>
          <w:sz w:val="32"/>
          <w:szCs w:val="32"/>
          <w:highlight w:val="none"/>
          <w:lang w:eastAsia="zh-CN"/>
        </w:rPr>
        <w:t>部门职责活动</w:t>
      </w:r>
      <w:r>
        <w:rPr>
          <w:rFonts w:hint="eastAsia" w:ascii="仿宋_GB2312" w:hAnsi="宋体" w:eastAsia="仿宋_GB2312" w:cs="宋体"/>
          <w:color w:val="000000"/>
          <w:kern w:val="0"/>
          <w:sz w:val="32"/>
          <w:szCs w:val="32"/>
          <w:highlight w:val="none"/>
        </w:rPr>
        <w:t>。具体如下：部门整体支出绩效目标主要为：一、加强规划的实施落地；二、做好怀柔实验室运行保障；三、打造重大科技设施集群；四、建立科技设施运行管理机制；五、吸引创新和产业要素聚集；六、推进科技成果转化；七、推进创新改革政策研究；八、提升城市功能服务水平；九、完善体制机制建设。</w:t>
      </w:r>
    </w:p>
    <w:p w14:paraId="0CB61DBA">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14:paraId="6B401B66">
      <w:pPr>
        <w:spacing w:line="600" w:lineRule="exact"/>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000000"/>
          <w:kern w:val="0"/>
          <w:sz w:val="32"/>
          <w:szCs w:val="32"/>
          <w:highlight w:val="none"/>
        </w:rPr>
        <w:t>年</w:t>
      </w:r>
      <w:r>
        <w:rPr>
          <w:rFonts w:ascii="仿宋_GB2312" w:hAnsi="宋体" w:eastAsia="仿宋_GB2312" w:cs="宋体"/>
          <w:color w:val="000000"/>
          <w:kern w:val="0"/>
          <w:sz w:val="32"/>
          <w:szCs w:val="32"/>
          <w:highlight w:val="none"/>
        </w:rPr>
        <w:t>全年</w:t>
      </w:r>
      <w:r>
        <w:rPr>
          <w:rFonts w:hint="eastAsia" w:ascii="仿宋_GB2312" w:hAnsi="宋体" w:eastAsia="仿宋_GB2312" w:cs="宋体"/>
          <w:color w:val="000000"/>
          <w:kern w:val="0"/>
          <w:sz w:val="32"/>
          <w:szCs w:val="32"/>
          <w:highlight w:val="none"/>
        </w:rPr>
        <w:t>预算数222,730.50万元</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其中</w:t>
      </w:r>
      <w:r>
        <w:rPr>
          <w:rFonts w:ascii="仿宋_GB2312" w:hAnsi="宋体" w:eastAsia="仿宋_GB2312" w:cs="宋体"/>
          <w:color w:val="000000"/>
          <w:kern w:val="0"/>
          <w:sz w:val="32"/>
          <w:szCs w:val="32"/>
          <w:highlight w:val="none"/>
        </w:rPr>
        <w:t>，基本</w:t>
      </w:r>
      <w:r>
        <w:rPr>
          <w:rFonts w:hint="eastAsia" w:ascii="仿宋_GB2312" w:hAnsi="宋体" w:eastAsia="仿宋_GB2312" w:cs="宋体"/>
          <w:color w:val="000000"/>
          <w:kern w:val="0"/>
          <w:sz w:val="32"/>
          <w:szCs w:val="32"/>
          <w:highlight w:val="none"/>
        </w:rPr>
        <w:t>支出</w:t>
      </w:r>
      <w:r>
        <w:rPr>
          <w:rFonts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rPr>
        <w:t>135.30</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项目支出预算数222,595.20</w:t>
      </w:r>
      <w:r>
        <w:rPr>
          <w:rFonts w:ascii="仿宋_GB2312" w:hAnsi="宋体" w:eastAsia="仿宋_GB2312" w:cs="宋体"/>
          <w:color w:val="000000"/>
          <w:kern w:val="0"/>
          <w:sz w:val="32"/>
          <w:szCs w:val="32"/>
          <w:highlight w:val="none"/>
        </w:rPr>
        <w:t>万元，其他支出</w:t>
      </w:r>
      <w:r>
        <w:rPr>
          <w:rFonts w:hint="eastAsia"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0.00</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w:t>
      </w:r>
      <w:r>
        <w:rPr>
          <w:rFonts w:ascii="仿宋_GB2312" w:hAnsi="宋体" w:eastAsia="仿宋_GB2312" w:cs="宋体"/>
          <w:color w:val="000000"/>
          <w:kern w:val="0"/>
          <w:sz w:val="32"/>
          <w:szCs w:val="32"/>
          <w:highlight w:val="none"/>
        </w:rPr>
        <w:t>资金总体</w:t>
      </w:r>
      <w:r>
        <w:rPr>
          <w:rFonts w:hint="eastAsia" w:ascii="仿宋_GB2312" w:hAnsi="宋体" w:eastAsia="仿宋_GB2312" w:cs="宋体"/>
          <w:color w:val="000000"/>
          <w:kern w:val="0"/>
          <w:sz w:val="32"/>
          <w:szCs w:val="32"/>
          <w:highlight w:val="none"/>
        </w:rPr>
        <w:t>支出221,604.42</w:t>
      </w:r>
      <w:r>
        <w:rPr>
          <w:rFonts w:ascii="仿宋_GB2312" w:hAnsi="宋体" w:eastAsia="仿宋_GB2312" w:cs="宋体"/>
          <w:color w:val="000000"/>
          <w:kern w:val="0"/>
          <w:sz w:val="32"/>
          <w:szCs w:val="32"/>
          <w:highlight w:val="none"/>
        </w:rPr>
        <w:t>万元，其中，基本支出</w:t>
      </w:r>
      <w:r>
        <w:rPr>
          <w:rFonts w:hint="eastAsia" w:ascii="仿宋_GB2312" w:hAnsi="宋体" w:eastAsia="仿宋_GB2312" w:cs="宋体"/>
          <w:color w:val="000000"/>
          <w:kern w:val="0"/>
          <w:sz w:val="32"/>
          <w:szCs w:val="32"/>
          <w:highlight w:val="none"/>
        </w:rPr>
        <w:t>77.64</w:t>
      </w:r>
      <w:r>
        <w:rPr>
          <w:rFonts w:ascii="仿宋_GB2312" w:hAnsi="宋体" w:eastAsia="仿宋_GB2312" w:cs="宋体"/>
          <w:color w:val="000000"/>
          <w:kern w:val="0"/>
          <w:sz w:val="32"/>
          <w:szCs w:val="32"/>
          <w:highlight w:val="none"/>
        </w:rPr>
        <w:t>万元，项目</w:t>
      </w:r>
      <w:r>
        <w:rPr>
          <w:rFonts w:hint="eastAsia" w:ascii="仿宋_GB2312" w:hAnsi="宋体" w:eastAsia="仿宋_GB2312" w:cs="宋体"/>
          <w:color w:val="000000"/>
          <w:kern w:val="0"/>
          <w:sz w:val="32"/>
          <w:szCs w:val="32"/>
          <w:highlight w:val="none"/>
        </w:rPr>
        <w:t>支出221,526.78</w:t>
      </w:r>
      <w:r>
        <w:rPr>
          <w:rFonts w:ascii="仿宋_GB2312" w:hAnsi="宋体" w:eastAsia="仿宋_GB2312" w:cs="宋体"/>
          <w:color w:val="000000"/>
          <w:kern w:val="0"/>
          <w:sz w:val="32"/>
          <w:szCs w:val="32"/>
          <w:highlight w:val="none"/>
        </w:rPr>
        <w:t>万元，其他支出</w:t>
      </w:r>
      <w:r>
        <w:rPr>
          <w:rFonts w:hint="eastAsia" w:ascii="仿宋_GB2312" w:hAnsi="宋体" w:eastAsia="仿宋_GB2312" w:cs="宋体"/>
          <w:color w:val="000000"/>
          <w:kern w:val="0"/>
          <w:sz w:val="32"/>
          <w:szCs w:val="32"/>
          <w:highlight w:val="none"/>
          <w:lang w:val="en-US" w:eastAsia="zh-CN"/>
        </w:rPr>
        <w:t>0.00</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预算</w:t>
      </w:r>
      <w:r>
        <w:rPr>
          <w:rFonts w:ascii="仿宋_GB2312" w:hAnsi="宋体" w:eastAsia="仿宋_GB2312" w:cs="宋体"/>
          <w:color w:val="000000"/>
          <w:kern w:val="0"/>
          <w:sz w:val="32"/>
          <w:szCs w:val="32"/>
          <w:highlight w:val="none"/>
        </w:rPr>
        <w:t>执行率为</w:t>
      </w:r>
      <w:r>
        <w:rPr>
          <w:rFonts w:hint="eastAsia" w:ascii="仿宋_GB2312" w:hAnsi="宋体" w:eastAsia="仿宋_GB2312" w:cs="宋体"/>
          <w:color w:val="000000"/>
          <w:kern w:val="0"/>
          <w:sz w:val="32"/>
          <w:szCs w:val="32"/>
          <w:highlight w:val="none"/>
          <w:lang w:val="en-US" w:eastAsia="zh-CN"/>
        </w:rPr>
        <w:t>99.49%</w:t>
      </w:r>
      <w:r>
        <w:rPr>
          <w:rFonts w:hint="eastAsia" w:ascii="仿宋_GB2312" w:hAnsi="宋体" w:eastAsia="仿宋_GB2312" w:cs="宋体"/>
          <w:color w:val="000000"/>
          <w:kern w:val="0"/>
          <w:sz w:val="32"/>
          <w:szCs w:val="32"/>
          <w:highlight w:val="none"/>
        </w:rPr>
        <w:t>。</w:t>
      </w:r>
    </w:p>
    <w:p w14:paraId="08C7EB06">
      <w:pPr>
        <w:spacing w:line="600" w:lineRule="exact"/>
        <w:ind w:left="105" w:leftChars="50" w:firstLine="480" w:firstLineChars="150"/>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三</w:t>
      </w:r>
      <w:r>
        <w:rPr>
          <w:rFonts w:ascii="黑体" w:hAnsi="黑体" w:eastAsia="黑体" w:cs="宋体"/>
          <w:color w:val="000000"/>
          <w:kern w:val="0"/>
          <w:sz w:val="32"/>
          <w:szCs w:val="32"/>
          <w:highlight w:val="none"/>
        </w:rPr>
        <w:t>、整体绩效目标实现情况</w:t>
      </w:r>
    </w:p>
    <w:p w14:paraId="1AD9FA4B">
      <w:pPr>
        <w:spacing w:line="600" w:lineRule="exact"/>
        <w:ind w:left="105" w:leftChars="50" w:firstLine="480" w:firstLineChars="150"/>
        <w:rPr>
          <w:rFonts w:ascii="楷体_GB2312" w:eastAsia="楷体_GB2312"/>
          <w:sz w:val="32"/>
          <w:szCs w:val="32"/>
          <w:highlight w:val="none"/>
        </w:rPr>
      </w:pPr>
      <w:r>
        <w:rPr>
          <w:rFonts w:hint="eastAsia" w:ascii="楷体_GB2312" w:eastAsia="楷体_GB2312"/>
          <w:sz w:val="32"/>
          <w:szCs w:val="32"/>
          <w:highlight w:val="none"/>
        </w:rPr>
        <w:t>（一）产出完成情况分析</w:t>
      </w:r>
    </w:p>
    <w:p w14:paraId="682AB20B">
      <w:pPr>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1.产出数量</w:t>
      </w:r>
    </w:p>
    <w:p w14:paraId="5D27DED6">
      <w:pPr>
        <w:spacing w:line="600" w:lineRule="exact"/>
        <w:ind w:left="105" w:leftChars="50" w:firstLine="480" w:firstLineChars="150"/>
        <w:rPr>
          <w:rFonts w:hint="eastAsia" w:ascii="仿宋_GB2312" w:hAnsi="宋体" w:eastAsia="仿宋_GB2312" w:cs="宋体"/>
          <w:color w:val="000000"/>
          <w:kern w:val="0"/>
          <w:sz w:val="32"/>
          <w:szCs w:val="32"/>
          <w:highlight w:val="none"/>
          <w:lang w:eastAsia="zh-CN"/>
        </w:rPr>
      </w:pP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lang w:val="en-US" w:eastAsia="zh-CN"/>
        </w:rPr>
        <w:t>1</w:t>
      </w:r>
      <w:r>
        <w:rPr>
          <w:rFonts w:hint="eastAsia" w:ascii="仿宋_GB2312" w:hAnsi="宋体" w:eastAsia="仿宋_GB2312" w:cs="宋体"/>
          <w:color w:val="000000"/>
          <w:kern w:val="0"/>
          <w:sz w:val="32"/>
          <w:szCs w:val="32"/>
          <w:highlight w:val="none"/>
          <w:lang w:eastAsia="zh-CN"/>
        </w:rPr>
        <w:t>）产出指标-数量指标-开发建设管理:积极推进“十四五”重大项目落地布局。</w:t>
      </w:r>
    </w:p>
    <w:p w14:paraId="078038B4">
      <w:pPr>
        <w:spacing w:line="600" w:lineRule="exact"/>
        <w:ind w:left="105" w:leftChars="50" w:firstLine="480" w:firstLineChars="15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怀柔科学城“十四五”科学设施项目加快落地，人类器官生理病理模拟装置可研报告上报国家发改委；太赫兹科学技术中心平台、创新细胞技术研发平台、传染病疫苗抗体智能分析测试平台选址方案和建筑设计方案基本稳定，年底前可研报告上报国家发改委；分子影像与医学诊疗探针创新平台探索市场化投资建设运行的新范式，推进项目立项申报。共5项“十四五”科学设施项目整体推进。</w:t>
      </w:r>
    </w:p>
    <w:p w14:paraId="15299712">
      <w:pPr>
        <w:spacing w:line="600" w:lineRule="exact"/>
        <w:ind w:left="105" w:leftChars="50" w:firstLine="480" w:firstLineChars="15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（2）产出指标-数量指标-开发建设管理:推进一批平台项目试运行、科学设施项目工程竣工及设备安装。</w:t>
      </w:r>
    </w:p>
    <w:p w14:paraId="1D74A451">
      <w:pPr>
        <w:spacing w:line="600" w:lineRule="exact"/>
        <w:ind w:left="105" w:leftChars="50" w:firstLine="480" w:firstLineChars="15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科学设施平台集群基本形成，扎实推进29项“十三五”科学设施年底前土建工程全部完工，全面进入科研设备安装、调试阶段，已有9项科学设施进入科研状态，其中，地球系统数值模拟装置于10月通过国家验收，成为第一个进入正式运行的大装置；完成第一批交叉研究平台运行评审，平台运行成效明显，累计对外开放机时约43万小时，服务150余家科研单位，为180余项重大任务提供科研支撑，有效实现了平台开放共享。</w:t>
      </w:r>
    </w:p>
    <w:p w14:paraId="61955CDE">
      <w:pPr>
        <w:spacing w:line="600" w:lineRule="exact"/>
        <w:ind w:firstLine="640" w:firstLineChars="200"/>
        <w:rPr>
          <w:rFonts w:hint="eastAsia" w:ascii="仿宋_GB2312" w:hAnsi="宋体" w:eastAsia="仿宋_GB2312" w:cs="宋体"/>
          <w:color w:val="000000"/>
          <w:kern w:val="0"/>
          <w:sz w:val="32"/>
          <w:szCs w:val="32"/>
          <w:highlight w:val="none"/>
          <w:shd w:val="clear" w:color="auto" w:fill="auto"/>
          <w:lang w:val="en-US" w:eastAsia="zh-CN"/>
        </w:rPr>
      </w:pPr>
      <w:r>
        <w:rPr>
          <w:rFonts w:hint="eastAsia" w:ascii="仿宋_GB2312" w:hAnsi="宋体" w:eastAsia="仿宋_GB2312" w:cs="宋体"/>
          <w:color w:val="000000"/>
          <w:kern w:val="0"/>
          <w:sz w:val="32"/>
          <w:szCs w:val="32"/>
          <w:highlight w:val="none"/>
          <w:shd w:val="clear" w:color="auto" w:fill="auto"/>
          <w:lang w:val="en-US" w:eastAsia="zh-CN"/>
        </w:rPr>
        <w:t>（3）产出指标-数量指标-人才服务：研究科学城人才政策。</w:t>
      </w:r>
    </w:p>
    <w:p w14:paraId="76086305">
      <w:pPr>
        <w:spacing w:line="600" w:lineRule="exact"/>
        <w:ind w:firstLine="640" w:firstLineChars="200"/>
        <w:rPr>
          <w:rFonts w:hint="eastAsia" w:ascii="仿宋_GB2312" w:hAnsi="宋体" w:eastAsia="仿宋_GB2312" w:cs="宋体"/>
          <w:color w:val="000000"/>
          <w:kern w:val="0"/>
          <w:sz w:val="32"/>
          <w:szCs w:val="32"/>
          <w:highlight w:val="none"/>
          <w:shd w:val="clear" w:color="auto" w:fill="auto"/>
          <w:lang w:val="en-US" w:eastAsia="zh-CN"/>
        </w:rPr>
      </w:pPr>
      <w:r>
        <w:rPr>
          <w:rFonts w:hint="eastAsia" w:ascii="仿宋_GB2312" w:hAnsi="宋体" w:eastAsia="仿宋_GB2312" w:cs="宋体"/>
          <w:color w:val="000000"/>
          <w:kern w:val="0"/>
          <w:sz w:val="32"/>
          <w:szCs w:val="32"/>
          <w:highlight w:val="none"/>
          <w:shd w:val="clear" w:color="auto" w:fill="auto"/>
          <w:lang w:val="en-US" w:eastAsia="zh-CN"/>
        </w:rPr>
        <w:t>开展科学城人才政策的专项调研，开展座谈会探讨怀柔区高水平人才高地建设的具体要求，着手起拟《怀柔区高水平人才高地建设方案（草案）》。</w:t>
      </w:r>
    </w:p>
    <w:p w14:paraId="2E6F2B6F">
      <w:pPr>
        <w:spacing w:line="600" w:lineRule="exact"/>
        <w:ind w:firstLine="640" w:firstLineChars="200"/>
        <w:rPr>
          <w:rFonts w:hint="eastAsia" w:ascii="仿宋_GB2312" w:hAnsi="宋体" w:eastAsia="仿宋_GB2312" w:cs="宋体"/>
          <w:color w:val="000000"/>
          <w:kern w:val="0"/>
          <w:sz w:val="32"/>
          <w:szCs w:val="32"/>
          <w:highlight w:val="none"/>
          <w:shd w:val="clear" w:color="auto" w:fill="auto"/>
          <w:lang w:val="en-US" w:eastAsia="zh-CN"/>
        </w:rPr>
      </w:pPr>
      <w:r>
        <w:rPr>
          <w:rFonts w:hint="eastAsia" w:ascii="仿宋_GB2312" w:hAnsi="宋体" w:eastAsia="仿宋_GB2312" w:cs="宋体"/>
          <w:color w:val="000000"/>
          <w:kern w:val="0"/>
          <w:sz w:val="32"/>
          <w:szCs w:val="32"/>
          <w:highlight w:val="none"/>
          <w:shd w:val="clear" w:color="auto" w:fill="auto"/>
          <w:lang w:val="en-US" w:eastAsia="zh-CN"/>
        </w:rPr>
        <w:t>（4）产出指标-数量指标-对外推广宣传：国际科技合作交流活动在怀柔科学城举办。</w:t>
      </w:r>
    </w:p>
    <w:p w14:paraId="2F3044AE">
      <w:pPr>
        <w:spacing w:line="600" w:lineRule="exact"/>
        <w:ind w:firstLine="640" w:firstLineChars="200"/>
        <w:rPr>
          <w:rFonts w:hint="eastAsia" w:ascii="仿宋_GB2312" w:hAnsi="宋体" w:eastAsia="仿宋_GB2312" w:cs="宋体"/>
          <w:color w:val="000000"/>
          <w:kern w:val="0"/>
          <w:sz w:val="32"/>
          <w:szCs w:val="32"/>
          <w:highlight w:val="none"/>
          <w:shd w:val="clear" w:color="auto" w:fill="auto"/>
          <w:lang w:val="en-US" w:eastAsia="zh-CN"/>
        </w:rPr>
      </w:pPr>
      <w:r>
        <w:rPr>
          <w:rFonts w:hint="eastAsia" w:ascii="仿宋_GB2312" w:hAnsi="宋体" w:eastAsia="仿宋_GB2312" w:cs="宋体"/>
          <w:color w:val="000000"/>
          <w:kern w:val="0"/>
          <w:sz w:val="32"/>
          <w:szCs w:val="32"/>
          <w:highlight w:val="none"/>
          <w:shd w:val="clear" w:color="auto" w:fill="auto"/>
          <w:lang w:val="en-US" w:eastAsia="zh-CN"/>
        </w:rPr>
        <w:t>国际影响力竞争力逐步增强。推动举办高水平科技交流活动，各科研院所、高校在怀举办交流活动40余场，聚焦生命科学、物质科学等领域，法国科学院雅克·苏奎特院士，中科院王志珍院士、卞修武院士等百余位知名科学家做了学术报告，来自德国、英国、瑞士等国的200余位科学家进行了深入探讨交流。深化“一所一品牌”，北京大学“怀柔论坛”永久落户，倡议发起全国生物医学成像科技创新联盟，提升生物医学成像领域的科技创新水平；中国干细胞与再生医学协同创新平台大会永久入驻，以此为契机和纽带，发布由我国牵头制定的首个干细胞国际标准，为全世界干细胞领域贡献了中国智慧和中国方案。</w:t>
      </w:r>
    </w:p>
    <w:p w14:paraId="4D8532DD">
      <w:pPr>
        <w:spacing w:line="600" w:lineRule="exact"/>
        <w:ind w:firstLine="640" w:firstLineChars="200"/>
        <w:rPr>
          <w:rFonts w:hint="eastAsia" w:ascii="仿宋_GB2312" w:hAnsi="宋体" w:eastAsia="仿宋_GB2312" w:cs="宋体"/>
          <w:color w:val="000000"/>
          <w:kern w:val="0"/>
          <w:sz w:val="32"/>
          <w:szCs w:val="32"/>
          <w:highlight w:val="none"/>
          <w:shd w:val="clear" w:color="auto" w:fill="auto"/>
          <w:lang w:val="en-US" w:eastAsia="zh-CN"/>
        </w:rPr>
      </w:pPr>
      <w:r>
        <w:rPr>
          <w:rFonts w:hint="eastAsia" w:ascii="仿宋_GB2312" w:hAnsi="宋体" w:eastAsia="仿宋_GB2312" w:cs="宋体"/>
          <w:color w:val="000000"/>
          <w:kern w:val="0"/>
          <w:sz w:val="32"/>
          <w:szCs w:val="32"/>
          <w:highlight w:val="none"/>
          <w:shd w:val="clear" w:color="auto" w:fill="auto"/>
          <w:lang w:val="en-US" w:eastAsia="zh-CN"/>
        </w:rPr>
        <w:t xml:space="preserve">（5）产出指标-数量指标-对外推广宣传：标积极开展《“十四五”时期北京怀柔综合性国家科学中心发展规划》宣贯工作，进行主要媒体报道等工作。 </w:t>
      </w:r>
    </w:p>
    <w:p w14:paraId="438C4A95">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围绕科学城统领“1+3”融合发展等重点工作，组织开展“奋进新征程 建功新时代——展翅腾飞看怀柔”主题采访23场，中央、市属40余家媒体参与宣传报道，累计刊播各类稿件3200余篇次，怀柔科学城对外宣传持续掀起热潮。</w:t>
      </w:r>
    </w:p>
    <w:p w14:paraId="7671B62F">
      <w:pPr>
        <w:spacing w:line="600" w:lineRule="exact"/>
        <w:ind w:left="105" w:leftChars="50" w:firstLine="480" w:firstLineChars="15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2.产出</w:t>
      </w:r>
      <w:r>
        <w:rPr>
          <w:rFonts w:ascii="仿宋_GB2312" w:hAnsi="宋体" w:eastAsia="仿宋_GB2312" w:cs="宋体"/>
          <w:color w:val="000000"/>
          <w:kern w:val="0"/>
          <w:sz w:val="32"/>
          <w:szCs w:val="32"/>
          <w:highlight w:val="none"/>
        </w:rPr>
        <w:t>质量</w:t>
      </w:r>
    </w:p>
    <w:p w14:paraId="4D979CD3">
      <w:pPr>
        <w:spacing w:line="600" w:lineRule="exact"/>
        <w:ind w:left="105" w:leftChars="50" w:firstLine="480" w:firstLineChars="15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lang w:val="en-US" w:eastAsia="zh-CN"/>
        </w:rPr>
        <w:t>1</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lang w:val="en-US" w:eastAsia="zh-CN"/>
        </w:rPr>
        <w:t>产出指标-质量指标-开发建设管理:“二装置五平台”正式运行。</w:t>
      </w:r>
    </w:p>
    <w:p w14:paraId="065993BC">
      <w:pPr>
        <w:spacing w:line="600" w:lineRule="exact"/>
        <w:ind w:left="105" w:leftChars="50" w:firstLine="480" w:firstLineChars="15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地球系统数值模拟装置通过国家验收，2022年6月15日启动首轮普通课题征集，50余个课题预约机时1.2亿核*小时。综合极端条件实验装置北京部分达到国家验收指标要求，2022年1月20日正式对外开放预约，33个国内外用户围绕48个课题共享机时1.2万小时，2022年12月20日装置实验站全部对外开放，已收到约500个课题申请。5个第一批交叉研究平台完成2022年度运行评审，具备正式运行条件，运行成效明显，累计对外开放机时约43万小时，服务150余家科研单位，为180余项重大任务提供科研支撑，有效实现了平台开放共享。</w:t>
      </w:r>
    </w:p>
    <w:p w14:paraId="6711CD93">
      <w:pPr>
        <w:spacing w:line="600" w:lineRule="exact"/>
        <w:ind w:left="105" w:leftChars="50" w:firstLine="480" w:firstLineChars="15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（2）产出指标-质量指标-开发建设管理:推进起步区城市建设，确保城市环境提升和服务功能保障。加快重点项目建设、电力道路等基础设施建设推进、教育医疗住房等公共服务配套建设推进。</w:t>
      </w:r>
    </w:p>
    <w:p w14:paraId="365343D3">
      <w:pPr>
        <w:spacing w:line="600" w:lineRule="exact"/>
        <w:ind w:left="105" w:leftChars="50" w:firstLine="480" w:firstLineChars="15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科学城城市功能逐步完善。市郊铁路怀密线完成加密提速，轨道交通通勤作用显现。起步区永乐北三街等主次干道全部通车，骨干路网基本成型。综合管廊完工投用，全面提升城市综合承载能力。科学城东110千伏、中心区10千伏配网、东区10千伏配网和起步区10千伏配网一期等一批电力设施完工，高能光源、多模态等已经完工的科学设施项目全部实现供电。教育、住房等公共服务品质持续提升，凯利特、栖美园、华远达公寓运行良好，科研人员拎包入住500余人，陈各庄共有产权房、雁栖国际人才社区一期年底建成投用，为科研人员提供优质房源1560余套；一零一中学怀柔校区扩建项目9月竣工投用，学校办学规模增至72个班，新增学位1620个；国科大附属学校已取得办学资格，今年第一批一年级新生已经入学。城市客厅A、B地块年底外装正在加快推进，将提供高品质生活服务配套，起步区已落实建筑规模131万平方米，规划总建筑规模开工过半，逐步呈现生态宜居、活力开放城市风貌。</w:t>
      </w:r>
    </w:p>
    <w:p w14:paraId="1B8CF12E">
      <w:pPr>
        <w:spacing w:line="600" w:lineRule="exact"/>
        <w:ind w:left="105" w:leftChars="50" w:firstLine="480" w:firstLineChars="15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3.产出</w:t>
      </w:r>
      <w:r>
        <w:rPr>
          <w:rFonts w:ascii="仿宋_GB2312" w:hAnsi="宋体" w:eastAsia="仿宋_GB2312" w:cs="宋体"/>
          <w:color w:val="000000"/>
          <w:kern w:val="0"/>
          <w:sz w:val="32"/>
          <w:szCs w:val="32"/>
          <w:highlight w:val="none"/>
        </w:rPr>
        <w:t>进度</w:t>
      </w:r>
    </w:p>
    <w:p w14:paraId="114B52C4">
      <w:pPr>
        <w:spacing w:line="600" w:lineRule="exact"/>
        <w:ind w:left="105" w:leftChars="50" w:firstLine="480" w:firstLineChars="150"/>
        <w:rPr>
          <w:rFonts w:hint="eastAsia" w:ascii="仿宋_GB2312" w:hAnsi="宋体" w:eastAsia="仿宋_GB2312" w:cs="宋体"/>
          <w:color w:val="000000"/>
          <w:kern w:val="0"/>
          <w:sz w:val="32"/>
          <w:szCs w:val="32"/>
          <w:highlight w:val="none"/>
          <w:lang w:eastAsia="zh-CN"/>
        </w:rPr>
      </w:pPr>
      <w:r>
        <w:rPr>
          <w:rFonts w:hint="eastAsia" w:ascii="仿宋_GB2312" w:hAnsi="宋体" w:eastAsia="仿宋_GB2312" w:cs="宋体"/>
          <w:color w:val="000000"/>
          <w:kern w:val="0"/>
          <w:sz w:val="32"/>
          <w:szCs w:val="32"/>
          <w:highlight w:val="none"/>
          <w:lang w:eastAsia="zh-CN"/>
        </w:rPr>
        <w:t>本年度未设置此类指标。</w:t>
      </w:r>
    </w:p>
    <w:p w14:paraId="273BB26B">
      <w:pPr>
        <w:spacing w:line="600" w:lineRule="exact"/>
        <w:ind w:left="105" w:leftChars="50" w:firstLine="480" w:firstLineChars="150"/>
        <w:rPr>
          <w:rFonts w:ascii="仿宋_GB2312" w:hAnsi="宋体" w:eastAsia="仿宋_GB2312" w:cs="宋体"/>
          <w:color w:val="000000"/>
          <w:kern w:val="0"/>
          <w:sz w:val="32"/>
          <w:szCs w:val="32"/>
          <w:highlight w:val="none"/>
        </w:rPr>
      </w:pPr>
      <w:r>
        <w:rPr>
          <w:rFonts w:ascii="仿宋_GB2312" w:hAnsi="宋体" w:eastAsia="仿宋_GB2312" w:cs="宋体"/>
          <w:color w:val="000000"/>
          <w:kern w:val="0"/>
          <w:sz w:val="32"/>
          <w:szCs w:val="32"/>
          <w:highlight w:val="none"/>
        </w:rPr>
        <w:t>4.</w:t>
      </w:r>
      <w:r>
        <w:rPr>
          <w:rFonts w:hint="eastAsia" w:ascii="仿宋_GB2312" w:hAnsi="宋体" w:eastAsia="仿宋_GB2312" w:cs="宋体"/>
          <w:color w:val="000000"/>
          <w:kern w:val="0"/>
          <w:sz w:val="32"/>
          <w:szCs w:val="32"/>
          <w:highlight w:val="none"/>
        </w:rPr>
        <w:t>产出</w:t>
      </w:r>
      <w:r>
        <w:rPr>
          <w:rFonts w:ascii="仿宋_GB2312" w:hAnsi="宋体" w:eastAsia="仿宋_GB2312" w:cs="宋体"/>
          <w:color w:val="000000"/>
          <w:kern w:val="0"/>
          <w:sz w:val="32"/>
          <w:szCs w:val="32"/>
          <w:highlight w:val="none"/>
        </w:rPr>
        <w:t>成本</w:t>
      </w:r>
    </w:p>
    <w:p w14:paraId="197703B4">
      <w:pPr>
        <w:spacing w:line="600" w:lineRule="exact"/>
        <w:ind w:left="105" w:leftChars="50" w:firstLine="480" w:firstLineChars="150"/>
        <w:rPr>
          <w:rFonts w:hint="eastAsia" w:ascii="仿宋_GB2312" w:hAnsi="宋体" w:eastAsia="仿宋_GB2312" w:cs="宋体"/>
          <w:color w:val="000000"/>
          <w:kern w:val="0"/>
          <w:sz w:val="32"/>
          <w:szCs w:val="32"/>
          <w:highlight w:val="none"/>
          <w:lang w:eastAsia="zh-CN"/>
        </w:rPr>
      </w:pP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lang w:val="en-US" w:eastAsia="zh-CN"/>
        </w:rPr>
        <w:t>1</w:t>
      </w:r>
      <w:r>
        <w:rPr>
          <w:rFonts w:hint="eastAsia" w:ascii="仿宋_GB2312" w:hAnsi="宋体" w:eastAsia="仿宋_GB2312" w:cs="宋体"/>
          <w:color w:val="000000"/>
          <w:kern w:val="0"/>
          <w:sz w:val="32"/>
          <w:szCs w:val="32"/>
          <w:highlight w:val="none"/>
          <w:lang w:eastAsia="zh-CN"/>
        </w:rPr>
        <w:t>）产出指标-成本指标-设施平台服务保障:发布实施《北京怀柔综合性国家科学中心交叉研究平台运行经费补助实施细则》，支持先进光源等5个首批交叉研究平台的起步运行，保障交叉研究平台围绕国家目标和区域经济社会发展需求。</w:t>
      </w:r>
    </w:p>
    <w:p w14:paraId="6D650184">
      <w:pPr>
        <w:spacing w:line="600" w:lineRule="exact"/>
        <w:ind w:left="105" w:leftChars="50" w:firstLine="480" w:firstLineChars="150"/>
        <w:rPr>
          <w:rFonts w:hint="eastAsia" w:ascii="仿宋_GB2312" w:hAnsi="宋体" w:eastAsia="仿宋_GB2312" w:cs="宋体"/>
          <w:color w:val="000000"/>
          <w:kern w:val="0"/>
          <w:sz w:val="32"/>
          <w:szCs w:val="32"/>
          <w:highlight w:val="none"/>
          <w:lang w:eastAsia="zh-CN"/>
        </w:rPr>
      </w:pPr>
      <w:r>
        <w:rPr>
          <w:rFonts w:hint="eastAsia" w:ascii="仿宋_GB2312" w:hAnsi="宋体" w:eastAsia="仿宋_GB2312" w:cs="宋体"/>
          <w:color w:val="000000"/>
          <w:kern w:val="0"/>
          <w:sz w:val="32"/>
          <w:szCs w:val="32"/>
          <w:highlight w:val="none"/>
          <w:lang w:eastAsia="zh-CN"/>
        </w:rPr>
        <w:t>部门印发实施《北京怀柔综合性国家科学中心交叉研究平台运行经费支持实施细则（试行）》，组织开展第一批交叉研究平台运行评审工作，经过现场考察、研讨评议等严谨有序的环节，5个第一批交叉研究平台运行成效显著，全部获评优秀，支持资金总额7332万元分别拨付各平台建设运行主体。5个平台运行成效明显：材料基因组研究平台承接国家纵向项目34项，发表180余篇科研论文，依托平台成立的凝聚态物质科学数据中心对该领域科学研究和创新将起到关键的推动作用，建立了国际上首台高通量、具备薄膜生长和表征的尖端仪器。清洁能源材料测试诊断与研发平台承接国家纵向项目46项，发表201篇科研论文，申请发明专利143项，提出“固态电解质正极补锂”电池本质安全设计策略，CO2诱导形成界面SEI膜助力宽电位水系电解液的研究成果在《Nature Chemistry》上发表。先进光源技术研发与测试平台实现超导腔的产业化生产，能够满足环型正负电子对撞机及自由电子激光装置对1.3GHz的需求，研制的国际上首套4米真空内波荡器原位测量系统可实现真空环境下波荡器磁场性能在线测量。空间科学卫星系列及有效载荷研制测试保障平台与中国计量科学研究院电离辐射研究所共建了中低能离子辐射测试与标定联合实验室，依托交叉平台申报的“国家卫星有效载荷产品质量检验检测中心”已获得国家市场监管总局筹建批复。先进载运和测量技术综合实验平台支撑了某飞行理论的创新和验证，开辟了新的飞行走廊，获2021年度中国科学院杰出科技成就奖。</w:t>
      </w:r>
    </w:p>
    <w:p w14:paraId="7E17EC43">
      <w:pPr>
        <w:spacing w:line="600" w:lineRule="exact"/>
        <w:ind w:left="105" w:leftChars="50" w:firstLine="480" w:firstLineChars="150"/>
        <w:rPr>
          <w:rFonts w:hint="eastAsia" w:ascii="仿宋_GB2312" w:hAnsi="宋体" w:eastAsia="仿宋_GB2312" w:cs="宋体"/>
          <w:color w:val="000000"/>
          <w:kern w:val="0"/>
          <w:sz w:val="32"/>
          <w:szCs w:val="32"/>
          <w:highlight w:val="none"/>
          <w:shd w:val="clear" w:color="auto" w:fill="auto"/>
          <w:lang w:eastAsia="zh-CN"/>
        </w:rPr>
      </w:pPr>
      <w:r>
        <w:rPr>
          <w:rFonts w:hint="eastAsia" w:ascii="仿宋_GB2312" w:hAnsi="宋体" w:eastAsia="仿宋_GB2312" w:cs="宋体"/>
          <w:color w:val="000000"/>
          <w:kern w:val="0"/>
          <w:sz w:val="32"/>
          <w:szCs w:val="32"/>
          <w:highlight w:val="none"/>
          <w:shd w:val="clear" w:color="auto" w:fill="auto"/>
          <w:lang w:eastAsia="zh-CN"/>
        </w:rPr>
        <w:t>（</w:t>
      </w:r>
      <w:r>
        <w:rPr>
          <w:rFonts w:hint="eastAsia" w:ascii="仿宋_GB2312" w:hAnsi="宋体" w:eastAsia="仿宋_GB2312" w:cs="宋体"/>
          <w:color w:val="000000"/>
          <w:kern w:val="0"/>
          <w:sz w:val="32"/>
          <w:szCs w:val="32"/>
          <w:highlight w:val="none"/>
          <w:shd w:val="clear" w:color="auto" w:fill="auto"/>
          <w:lang w:val="en-US" w:eastAsia="zh-CN"/>
        </w:rPr>
        <w:t>2</w:t>
      </w:r>
      <w:r>
        <w:rPr>
          <w:rFonts w:hint="eastAsia" w:ascii="仿宋_GB2312" w:hAnsi="宋体" w:eastAsia="仿宋_GB2312" w:cs="宋体"/>
          <w:color w:val="000000"/>
          <w:kern w:val="0"/>
          <w:sz w:val="32"/>
          <w:szCs w:val="32"/>
          <w:highlight w:val="none"/>
          <w:shd w:val="clear" w:color="auto" w:fill="auto"/>
          <w:lang w:eastAsia="zh-CN"/>
        </w:rPr>
        <w:t>）产出指标-成本指标-科技成果转化:组织实施好《关于精准支持怀柔科学城科学仪器和传感器产业创新发展的若干措施》</w:t>
      </w:r>
    </w:p>
    <w:p w14:paraId="1D99A939">
      <w:pPr>
        <w:spacing w:line="600" w:lineRule="exact"/>
        <w:ind w:left="105" w:leftChars="50" w:firstLine="480" w:firstLineChars="150"/>
        <w:rPr>
          <w:rFonts w:ascii="楷体_GB2312" w:eastAsia="楷体_GB2312"/>
          <w:sz w:val="32"/>
          <w:szCs w:val="32"/>
          <w:highlight w:val="none"/>
        </w:rPr>
      </w:pPr>
      <w:r>
        <w:rPr>
          <w:rFonts w:hint="eastAsia" w:ascii="仿宋_GB2312" w:hAnsi="宋体" w:eastAsia="仿宋_GB2312" w:cs="宋体"/>
          <w:color w:val="000000"/>
          <w:kern w:val="0"/>
          <w:sz w:val="32"/>
          <w:szCs w:val="32"/>
          <w:highlight w:val="none"/>
          <w:shd w:val="clear" w:color="auto" w:fill="auto"/>
          <w:lang w:eastAsia="zh-CN"/>
        </w:rPr>
        <w:t>2022年，经全面征集、初筛和专家评审，共支持项目21项，支持金额16300万元，涉及产业研究院项目4个，创业团队、企业发展类项目16个，产业基金类项目1个，吸引了北京纳能等一批高成长潜力的高端仪器和传感器企业落地，助力了一批关键技术研发，推动高端仪器装备和传感器产业研究院等一批孵化平台发展，进一步完善了产业生态。</w:t>
      </w:r>
      <w:r>
        <w:rPr>
          <w:rFonts w:hint="eastAsia" w:ascii="楷体_GB2312" w:eastAsia="楷体_GB2312"/>
          <w:sz w:val="32"/>
          <w:szCs w:val="32"/>
          <w:highlight w:val="none"/>
        </w:rPr>
        <w:t>（二）效果</w:t>
      </w:r>
      <w:r>
        <w:rPr>
          <w:rFonts w:ascii="楷体_GB2312" w:eastAsia="楷体_GB2312"/>
          <w:sz w:val="32"/>
          <w:szCs w:val="32"/>
          <w:highlight w:val="none"/>
        </w:rPr>
        <w:t>实现情况分析</w:t>
      </w:r>
    </w:p>
    <w:p w14:paraId="19B638A0">
      <w:pPr>
        <w:spacing w:line="600" w:lineRule="exact"/>
        <w:ind w:left="105" w:leftChars="50" w:firstLine="480" w:firstLineChars="15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1.经济</w:t>
      </w:r>
      <w:r>
        <w:rPr>
          <w:rFonts w:ascii="仿宋_GB2312" w:hAnsi="宋体" w:eastAsia="仿宋_GB2312" w:cs="宋体"/>
          <w:color w:val="000000"/>
          <w:kern w:val="0"/>
          <w:sz w:val="32"/>
          <w:szCs w:val="32"/>
          <w:highlight w:val="none"/>
        </w:rPr>
        <w:t>效益</w:t>
      </w:r>
    </w:p>
    <w:p w14:paraId="755F1F9C">
      <w:pPr>
        <w:spacing w:line="600" w:lineRule="exact"/>
        <w:ind w:left="105" w:leftChars="50" w:firstLine="480" w:firstLineChars="150"/>
        <w:rPr>
          <w:rFonts w:hint="eastAsia" w:ascii="仿宋_GB2312" w:hAnsi="宋体" w:eastAsia="仿宋_GB2312" w:cs="宋体"/>
          <w:color w:val="000000"/>
          <w:kern w:val="0"/>
          <w:sz w:val="32"/>
          <w:szCs w:val="32"/>
          <w:highlight w:val="none"/>
          <w:lang w:eastAsia="zh-CN"/>
        </w:rPr>
      </w:pPr>
      <w:r>
        <w:rPr>
          <w:rFonts w:hint="eastAsia" w:ascii="仿宋_GB2312" w:hAnsi="宋体" w:eastAsia="仿宋_GB2312" w:cs="宋体"/>
          <w:color w:val="000000"/>
          <w:kern w:val="0"/>
          <w:sz w:val="32"/>
          <w:szCs w:val="32"/>
          <w:highlight w:val="none"/>
          <w:lang w:eastAsia="zh-CN"/>
        </w:rPr>
        <w:t>本年度未设置此类指标。</w:t>
      </w:r>
    </w:p>
    <w:p w14:paraId="454A9265">
      <w:pPr>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2.社会效益</w:t>
      </w:r>
    </w:p>
    <w:p w14:paraId="44941B9B">
      <w:pPr>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eastAsia="zh-CN"/>
        </w:rPr>
        <w:t>本年度未设置此类指标。</w:t>
      </w:r>
    </w:p>
    <w:p w14:paraId="761C6B21">
      <w:pPr>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3.环境效益</w:t>
      </w:r>
    </w:p>
    <w:p w14:paraId="52C96EDF">
      <w:pPr>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eastAsia="zh-CN"/>
        </w:rPr>
        <w:t>本年度未设置此类指标。</w:t>
      </w:r>
    </w:p>
    <w:p w14:paraId="37B3B964">
      <w:pPr>
        <w:spacing w:line="600" w:lineRule="exact"/>
        <w:ind w:left="105" w:leftChars="50" w:firstLine="480" w:firstLineChars="15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4.可持续</w:t>
      </w:r>
      <w:r>
        <w:rPr>
          <w:rFonts w:ascii="仿宋_GB2312" w:hAnsi="宋体" w:eastAsia="仿宋_GB2312" w:cs="宋体"/>
          <w:color w:val="000000"/>
          <w:kern w:val="0"/>
          <w:sz w:val="32"/>
          <w:szCs w:val="32"/>
          <w:highlight w:val="none"/>
        </w:rPr>
        <w:t>性影响</w:t>
      </w:r>
    </w:p>
    <w:p w14:paraId="16F73E6E">
      <w:pPr>
        <w:spacing w:line="600" w:lineRule="exact"/>
        <w:ind w:left="105" w:leftChars="50" w:firstLine="480" w:firstLineChars="150"/>
        <w:rPr>
          <w:rFonts w:hint="eastAsia" w:ascii="仿宋_GB2312" w:hAnsi="宋体" w:eastAsia="仿宋_GB2312" w:cs="宋体"/>
          <w:color w:val="000000"/>
          <w:kern w:val="0"/>
          <w:sz w:val="32"/>
          <w:szCs w:val="32"/>
          <w:highlight w:val="none"/>
          <w:lang w:eastAsia="zh-CN"/>
        </w:rPr>
      </w:pPr>
      <w:r>
        <w:rPr>
          <w:rFonts w:hint="eastAsia" w:ascii="仿宋_GB2312" w:hAnsi="宋体" w:eastAsia="仿宋_GB2312" w:cs="宋体"/>
          <w:color w:val="000000"/>
          <w:kern w:val="0"/>
          <w:sz w:val="32"/>
          <w:szCs w:val="32"/>
          <w:highlight w:val="none"/>
          <w:lang w:eastAsia="zh-CN"/>
        </w:rPr>
        <w:t>（1）效益指标-可持续影响指标-设施平台运营管理：将科学设施平台转化为赋能产业链、创新链升级的关键环节，实现赋能科学设施平台为硬科技孵化器。加快物理所固芯能源、天目先导等项目落地，服务北大发起“全国生物医学成像科技创新联盟”。</w:t>
      </w:r>
    </w:p>
    <w:p w14:paraId="5C9F0588">
      <w:pPr>
        <w:spacing w:line="600" w:lineRule="exact"/>
        <w:ind w:left="105" w:leftChars="50" w:firstLine="480" w:firstLineChars="15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eastAsia="zh-CN"/>
        </w:rPr>
        <w:t>北大医学成像中心首批30余名师生入驻长城海纳，提前开展设备研制、进场安装调试以及多模态相关理论研究和软件设计等工作。化学所唯一成果转化平台新化正隆科技有限公司拟迁址怀柔。物理所固芯能源公司注册成立并签订入驻城市客厅意向协议，稀释制冷机研发团队启动公司注册程序。</w:t>
      </w:r>
    </w:p>
    <w:p w14:paraId="25F2B33F">
      <w:pPr>
        <w:spacing w:line="600" w:lineRule="exact"/>
        <w:ind w:left="105" w:leftChars="50" w:firstLine="480" w:firstLineChars="150"/>
        <w:rPr>
          <w:rFonts w:hint="eastAsia" w:ascii="仿宋_GB2312" w:hAnsi="宋体" w:eastAsia="仿宋_GB2312" w:cs="宋体"/>
          <w:color w:val="000000"/>
          <w:kern w:val="0"/>
          <w:sz w:val="32"/>
          <w:szCs w:val="32"/>
          <w:highlight w:val="none"/>
          <w:shd w:val="clear" w:color="auto" w:fill="auto"/>
          <w:lang w:val="en-US" w:eastAsia="zh-CN"/>
        </w:rPr>
      </w:pPr>
      <w:r>
        <w:rPr>
          <w:rFonts w:hint="eastAsia" w:ascii="仿宋_GB2312" w:hAnsi="宋体" w:eastAsia="仿宋_GB2312" w:cs="宋体"/>
          <w:color w:val="000000"/>
          <w:kern w:val="0"/>
          <w:sz w:val="32"/>
          <w:szCs w:val="32"/>
          <w:highlight w:val="none"/>
          <w:shd w:val="clear" w:color="auto" w:fill="auto"/>
          <w:lang w:val="en-US" w:eastAsia="zh-CN"/>
        </w:rPr>
        <w:t>（2）效益指标-可持续影响指标-产业发展服务：参与应用场景顶层设计，形成系统解决方案，打造可复制推广的全域韧性城市应用场景样板。</w:t>
      </w:r>
    </w:p>
    <w:p w14:paraId="76B506F7">
      <w:pPr>
        <w:spacing w:line="600" w:lineRule="exact"/>
        <w:ind w:left="105" w:leftChars="50" w:firstLine="480" w:firstLineChars="150"/>
        <w:rPr>
          <w:rFonts w:hint="eastAsia" w:ascii="仿宋_GB2312" w:hAnsi="宋体" w:eastAsia="仿宋_GB2312" w:cs="宋体"/>
          <w:color w:val="000000"/>
          <w:kern w:val="0"/>
          <w:sz w:val="32"/>
          <w:szCs w:val="32"/>
          <w:highlight w:val="none"/>
          <w:shd w:val="clear" w:color="auto" w:fill="auto"/>
          <w:lang w:val="en-US" w:eastAsia="zh-CN"/>
        </w:rPr>
      </w:pPr>
      <w:r>
        <w:rPr>
          <w:rFonts w:hint="eastAsia" w:ascii="仿宋_GB2312" w:hAnsi="宋体" w:eastAsia="仿宋_GB2312" w:cs="宋体"/>
          <w:color w:val="000000"/>
          <w:kern w:val="0"/>
          <w:sz w:val="32"/>
          <w:szCs w:val="32"/>
          <w:highlight w:val="none"/>
          <w:shd w:val="clear" w:color="auto" w:fill="auto"/>
          <w:lang w:val="en-US" w:eastAsia="zh-CN"/>
        </w:rPr>
        <w:t>该项目已完成项目结题，形成了《数字科学城建设方案》，以打造新型“科学+城”城市形态应用场景为牵引，探索原始创新成果转化路径；形成了《怀柔科学城设施平台安全研究报告》，为设施平台安全运行提供了优质建议。</w:t>
      </w:r>
    </w:p>
    <w:p w14:paraId="4B3F97E5">
      <w:pPr>
        <w:spacing w:line="600" w:lineRule="exact"/>
        <w:ind w:left="105" w:leftChars="50" w:firstLine="480" w:firstLineChars="150"/>
        <w:rPr>
          <w:rFonts w:hint="eastAsia" w:ascii="仿宋_GB2312" w:hAnsi="宋体" w:eastAsia="仿宋_GB2312" w:cs="宋体"/>
          <w:color w:val="000000"/>
          <w:kern w:val="0"/>
          <w:sz w:val="32"/>
          <w:szCs w:val="32"/>
          <w:highlight w:val="none"/>
          <w:shd w:val="clear" w:color="auto" w:fill="auto"/>
          <w:lang w:val="en-US" w:eastAsia="zh-CN"/>
        </w:rPr>
      </w:pPr>
      <w:r>
        <w:rPr>
          <w:rFonts w:hint="eastAsia" w:ascii="仿宋_GB2312" w:hAnsi="宋体" w:eastAsia="仿宋_GB2312" w:cs="宋体"/>
          <w:color w:val="000000"/>
          <w:kern w:val="0"/>
          <w:sz w:val="32"/>
          <w:szCs w:val="32"/>
          <w:highlight w:val="none"/>
          <w:shd w:val="clear" w:color="auto" w:fill="auto"/>
          <w:lang w:val="en-US" w:eastAsia="zh-CN"/>
        </w:rPr>
        <w:t>（3）效益指标-可持续影响指标-计划编制与实施：探索建立符合科学城的建设投资模式，研究科学城公司注册资本金融资使用方案。</w:t>
      </w:r>
    </w:p>
    <w:p w14:paraId="63C02832">
      <w:pPr>
        <w:spacing w:line="600" w:lineRule="exact"/>
        <w:ind w:left="105" w:leftChars="50" w:firstLine="480" w:firstLineChars="150"/>
        <w:rPr>
          <w:rFonts w:hint="eastAsia" w:ascii="仿宋_GB2312" w:hAnsi="宋体" w:eastAsia="仿宋_GB2312" w:cs="宋体"/>
          <w:color w:val="000000"/>
          <w:kern w:val="0"/>
          <w:sz w:val="32"/>
          <w:szCs w:val="32"/>
          <w:highlight w:val="none"/>
          <w:shd w:val="clear" w:color="auto" w:fill="auto"/>
          <w:lang w:val="en-US" w:eastAsia="zh-CN"/>
        </w:rPr>
      </w:pPr>
      <w:r>
        <w:rPr>
          <w:rFonts w:hint="eastAsia" w:ascii="仿宋_GB2312" w:hAnsi="宋体" w:eastAsia="仿宋_GB2312" w:cs="宋体"/>
          <w:color w:val="000000"/>
          <w:kern w:val="0"/>
          <w:sz w:val="32"/>
          <w:szCs w:val="32"/>
          <w:highlight w:val="none"/>
          <w:shd w:val="clear" w:color="auto" w:fill="auto"/>
          <w:lang w:val="en-US" w:eastAsia="zh-CN"/>
        </w:rPr>
        <w:t>部门对科学城的建设投资进行了测算，切实发挥科学城公司注册资本金放大使用效果，形成了初步研究方案。为科学城公司争取注册资本金注入9亿元，保障科学设施供地需求。支持科学城公司完成发行再融资债券30.88亿元和专项债资金4.25亿元，强化专项债全生命周期监管，防范政府债务风险。积极与政策性银行、国有银行和券商等金融机构对接，探索科学城建设融资新模式，在发行企业债券、银团贷款等方面进行探索，进一步降低融资成本。</w:t>
      </w:r>
    </w:p>
    <w:p w14:paraId="6D33753E">
      <w:pPr>
        <w:spacing w:line="600" w:lineRule="exact"/>
        <w:ind w:left="105" w:leftChars="50" w:firstLine="480" w:firstLineChars="15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4）效益指标-可持续影响指标-政策研究：建立跨部门的政策研究机制，充分调动力量，开展科学、科学家、科学城的关系及内在规律探索，研究吸引创新主体、聚集创新要素的政策措施，并及时研判研究成果，提出政策举措建议。</w:t>
      </w:r>
    </w:p>
    <w:p w14:paraId="063D0ED6">
      <w:pPr>
        <w:spacing w:line="600" w:lineRule="exact"/>
        <w:ind w:left="105" w:leftChars="50" w:firstLine="480" w:firstLineChars="15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本年度部门已成立创新政策研究工作专班，建立跨部门的政策研究机制，推进围绕国家实验室、综合性国家科学中心建设开展科学、科学家、科学城的内在规律探索，研究提出政策并加快落实。《“十四五”时期北京怀柔综合性国家科学中心发展规划》已完成编制三张清单，按照清单正积极落实各项任务、项目，同步启动开展规划中期评估工作。《北京怀柔综合性国家科学中心院市交叉研究平台运行经费支持实施细则（试行）》已正式印发试行，并已完成第一批交叉研究平台评审。《关于支持发展高端仪器装备和传感器产业的若干政策措施实施细则》已出台并依托政策开始组织招商引资等工作，支持相关产业发展和创新主体聚集。已形成《怀柔支撑北京市高水平人才高地建设调研报告》，提出吸引人才入驻政策建议。已向市发改委上报参加新一轮全面创新改革的措施和实施单位的建议，正按照市发改委统一部署，推进后续工作开展。</w:t>
      </w:r>
    </w:p>
    <w:p w14:paraId="6AB5349A">
      <w:pPr>
        <w:spacing w:line="600" w:lineRule="exact"/>
        <w:ind w:left="105" w:leftChars="50" w:firstLine="480" w:firstLineChars="15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5.服务对象</w:t>
      </w:r>
      <w:r>
        <w:rPr>
          <w:rFonts w:ascii="仿宋_GB2312" w:hAnsi="宋体" w:eastAsia="仿宋_GB2312" w:cs="宋体"/>
          <w:color w:val="000000"/>
          <w:kern w:val="0"/>
          <w:sz w:val="32"/>
          <w:szCs w:val="32"/>
          <w:highlight w:val="none"/>
        </w:rPr>
        <w:t>满意度</w:t>
      </w:r>
    </w:p>
    <w:p w14:paraId="31573B1B">
      <w:pPr>
        <w:spacing w:line="600" w:lineRule="exact"/>
        <w:ind w:left="105" w:leftChars="50" w:firstLine="480" w:firstLineChars="150"/>
        <w:rPr>
          <w:rFonts w:hint="eastAsia" w:ascii="仿宋_GB2312" w:hAnsi="宋体" w:eastAsia="仿宋_GB2312" w:cs="宋体"/>
          <w:color w:val="000000"/>
          <w:kern w:val="0"/>
          <w:sz w:val="32"/>
          <w:szCs w:val="32"/>
          <w:highlight w:val="none"/>
          <w:lang w:eastAsia="zh-CN"/>
        </w:rPr>
      </w:pP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lang w:val="en-US" w:eastAsia="zh-CN"/>
        </w:rPr>
        <w:t>1</w:t>
      </w:r>
      <w:r>
        <w:rPr>
          <w:rFonts w:hint="eastAsia" w:ascii="仿宋_GB2312" w:hAnsi="宋体" w:eastAsia="仿宋_GB2312" w:cs="宋体"/>
          <w:color w:val="000000"/>
          <w:kern w:val="0"/>
          <w:sz w:val="32"/>
          <w:szCs w:val="32"/>
          <w:highlight w:val="none"/>
          <w:lang w:eastAsia="zh-CN"/>
        </w:rPr>
        <w:t>）满意度指标-服务对象满意度指标-项目设计与管理：怀柔实验室团队对于核心区空间建设保障满意度。</w:t>
      </w:r>
    </w:p>
    <w:p w14:paraId="4EA723D6">
      <w:pPr>
        <w:spacing w:line="600" w:lineRule="exact"/>
        <w:ind w:left="105" w:leftChars="50" w:firstLine="480" w:firstLineChars="150"/>
        <w:rPr>
          <w:rFonts w:hint="eastAsia" w:ascii="仿宋_GB2312" w:hAnsi="宋体" w:eastAsia="仿宋_GB2312" w:cs="宋体"/>
          <w:color w:val="000000"/>
          <w:kern w:val="0"/>
          <w:sz w:val="32"/>
          <w:szCs w:val="32"/>
          <w:highlight w:val="none"/>
          <w:lang w:eastAsia="zh-CN"/>
        </w:rPr>
      </w:pPr>
      <w:r>
        <w:rPr>
          <w:rFonts w:hint="eastAsia" w:ascii="仿宋_GB2312" w:hAnsi="宋体" w:eastAsia="仿宋_GB2312" w:cs="宋体"/>
          <w:color w:val="000000"/>
          <w:kern w:val="0"/>
          <w:sz w:val="32"/>
          <w:szCs w:val="32"/>
          <w:highlight w:val="none"/>
          <w:lang w:eastAsia="zh-CN"/>
        </w:rPr>
        <w:t>怀柔实验室，6月份正式入轨运行，核心区土护降完工，起步区科研工作高效运行，着力打造能源领域核心战略科技力量。</w:t>
      </w:r>
    </w:p>
    <w:p w14:paraId="05FFC9CD">
      <w:pPr>
        <w:spacing w:line="600" w:lineRule="exact"/>
        <w:ind w:left="105" w:leftChars="50" w:firstLine="480" w:firstLineChars="150"/>
        <w:rPr>
          <w:rFonts w:hint="eastAsia" w:ascii="仿宋_GB2312" w:hAnsi="宋体" w:eastAsia="仿宋_GB2312" w:cs="宋体"/>
          <w:color w:val="000000"/>
          <w:kern w:val="0"/>
          <w:sz w:val="32"/>
          <w:szCs w:val="32"/>
          <w:highlight w:val="none"/>
          <w:lang w:eastAsia="zh-CN"/>
        </w:rPr>
      </w:pP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lang w:eastAsia="zh-CN"/>
        </w:rPr>
        <w:t>）满意度指标-服务对象满意度指标-人才服务：怀柔实验室团队需求满意度。</w:t>
      </w:r>
    </w:p>
    <w:p w14:paraId="08935B0D">
      <w:pPr>
        <w:spacing w:line="600" w:lineRule="exact"/>
        <w:ind w:left="105" w:leftChars="50" w:firstLine="480" w:firstLineChars="15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怀柔科学城依托怀柔实验室、中科院相关院所、高校、新型研发机构等创新主体，怀柔科学城已集聚两院院士71人、国家人才计划杰出人才94人、国务院政府特殊津贴专家177人、国家杰青和优青268人。怀柔实验室、雁栖湖应用数学研究院等科研团队入住雁栖国际人才社区，让科学家在怀柔家中过好年。</w:t>
      </w:r>
    </w:p>
    <w:p w14:paraId="0307F9BD">
      <w:pPr>
        <w:spacing w:line="600" w:lineRule="exact"/>
        <w:ind w:left="105" w:leftChars="50" w:firstLine="480" w:firstLineChars="150"/>
        <w:rPr>
          <w:rFonts w:hint="eastAsia"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四</w:t>
      </w: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p>
    <w:p w14:paraId="0E08DAF8">
      <w:pPr>
        <w:spacing w:line="600" w:lineRule="exact"/>
        <w:ind w:left="105" w:leftChars="50" w:firstLine="480" w:firstLineChars="150"/>
        <w:rPr>
          <w:rFonts w:ascii="楷体_GB2312" w:eastAsia="楷体_GB2312"/>
          <w:sz w:val="32"/>
          <w:szCs w:val="32"/>
          <w:highlight w:val="none"/>
        </w:rPr>
      </w:pPr>
      <w:r>
        <w:rPr>
          <w:rFonts w:hint="eastAsia" w:ascii="楷体_GB2312" w:eastAsia="楷体_GB2312"/>
          <w:sz w:val="32"/>
          <w:szCs w:val="32"/>
          <w:highlight w:val="none"/>
        </w:rPr>
        <w:t>（一）财务管理</w:t>
      </w:r>
    </w:p>
    <w:p w14:paraId="05CFB448">
      <w:pPr>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1.财务管理制度健全性</w:t>
      </w:r>
    </w:p>
    <w:p w14:paraId="236221A1">
      <w:pPr>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为加强财务管理，进一步完善了我部门的财务管理和业务管理制度，202</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年我部门紧扣市财政局部门预、决算相关规定开展工作，以财政部门要求为底线，结合部门职责、重点事项等要素，</w:t>
      </w:r>
      <w:r>
        <w:rPr>
          <w:rFonts w:hint="eastAsia" w:ascii="仿宋_GB2312" w:hAnsi="宋体" w:eastAsia="仿宋_GB2312" w:cs="宋体"/>
          <w:color w:val="000000"/>
          <w:kern w:val="0"/>
          <w:sz w:val="32"/>
          <w:szCs w:val="32"/>
          <w:highlight w:val="none"/>
          <w:lang w:eastAsia="zh-CN"/>
        </w:rPr>
        <w:t>严格执行</w:t>
      </w:r>
      <w:r>
        <w:rPr>
          <w:rFonts w:hint="eastAsia" w:ascii="仿宋_GB2312" w:hAnsi="宋体" w:eastAsia="仿宋_GB2312" w:cs="宋体"/>
          <w:color w:val="000000"/>
          <w:kern w:val="0"/>
          <w:sz w:val="32"/>
          <w:szCs w:val="32"/>
          <w:highlight w:val="none"/>
        </w:rPr>
        <w:t>《中共北京市委怀柔科学城工作委员会工作规则》《中共北京市委怀柔科学城工作委员会“三重一大”决策实施办法》，</w:t>
      </w:r>
      <w:r>
        <w:rPr>
          <w:rFonts w:hint="eastAsia" w:ascii="仿宋_GB2312" w:hAnsi="宋体" w:eastAsia="仿宋_GB2312" w:cs="宋体"/>
          <w:color w:val="000000"/>
          <w:kern w:val="0"/>
          <w:sz w:val="32"/>
          <w:szCs w:val="32"/>
          <w:highlight w:val="none"/>
          <w:lang w:eastAsia="zh-CN"/>
        </w:rPr>
        <w:t>遵守</w:t>
      </w:r>
      <w:r>
        <w:rPr>
          <w:rFonts w:hint="eastAsia" w:ascii="仿宋_GB2312" w:hAnsi="宋体" w:eastAsia="仿宋_GB2312" w:cs="宋体"/>
          <w:color w:val="000000"/>
          <w:kern w:val="0"/>
          <w:sz w:val="32"/>
          <w:szCs w:val="32"/>
          <w:highlight w:val="none"/>
        </w:rPr>
        <w:t>《北京怀柔科学城管委会工作规则》《北京怀柔科学城管委会“三重一大”决策实施办法》；</w:t>
      </w:r>
      <w:r>
        <w:rPr>
          <w:rFonts w:hint="eastAsia" w:ascii="仿宋_GB2312" w:hAnsi="宋体" w:eastAsia="仿宋_GB2312" w:cs="宋体"/>
          <w:color w:val="000000"/>
          <w:kern w:val="0"/>
          <w:sz w:val="32"/>
          <w:szCs w:val="32"/>
          <w:highlight w:val="none"/>
          <w:lang w:eastAsia="zh-CN"/>
        </w:rPr>
        <w:t>完善</w:t>
      </w:r>
      <w:r>
        <w:rPr>
          <w:rFonts w:hint="eastAsia" w:ascii="仿宋_GB2312" w:hAnsi="宋体" w:eastAsia="仿宋_GB2312" w:cs="宋体"/>
          <w:color w:val="000000"/>
          <w:kern w:val="0"/>
          <w:sz w:val="32"/>
          <w:szCs w:val="32"/>
          <w:highlight w:val="none"/>
        </w:rPr>
        <w:t>《北京怀柔科学城管理委员会内部审计工作规定》《北京怀柔科学城管理委员会内部控制工作规定》等部门内部制度规范，进一步明确了财务管理的基本要求，增加预算编制和预算决策的科学性、规范性和准确性的管理要求。</w:t>
      </w:r>
    </w:p>
    <w:p w14:paraId="2C648A48">
      <w:pPr>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2.资金使用合规性和安全性</w:t>
      </w:r>
    </w:p>
    <w:p w14:paraId="400AC1B4">
      <w:pPr>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我部门预算资金使用以合规、安全、高效为原则，根据市财政局预算批复，及时做好用款计划，狠抓执行进度。部门资金拨付均符合市财政局相关经费支出要求，具有完整的审批程序和相关手续文件。资金调整、调剂规范，严格实行预算调整调剂审批制度；会计核算规范，支出凭证及其他核算均符合规定，按标准支出，无虚列支出、无截留、挤占、挪用资金情况。</w:t>
      </w:r>
    </w:p>
    <w:p w14:paraId="766F39F5">
      <w:pPr>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3.会计基础信息完善性</w:t>
      </w:r>
    </w:p>
    <w:p w14:paraId="32502C73">
      <w:pPr>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我部门按照《北京市市级项目支出预算管理办法》的相关要求，项目在立项时都须填报《部门预算项目申报文本》，同时附详细的法规政策规定、政府批准文件、项目绩效目标和可行性报告等材料，作为审核项目预算的依据。预算执行中涉及调整的资金款项均严格执行市财政相关规定。财务核算规范严谨、会计报表真实准确</w:t>
      </w:r>
      <w:r>
        <w:rPr>
          <w:rFonts w:hint="eastAsia" w:ascii="仿宋_GB2312" w:hAnsi="宋体" w:eastAsia="仿宋_GB2312" w:cs="宋体"/>
          <w:color w:val="000000"/>
          <w:kern w:val="0"/>
          <w:sz w:val="32"/>
          <w:szCs w:val="32"/>
          <w:highlight w:val="none"/>
          <w:lang w:eastAsia="zh-CN"/>
        </w:rPr>
        <w:t>，同时部门按照市级要求积极采用一体化会计核算，与原有财务体系优势互补，规范记账</w:t>
      </w:r>
      <w:r>
        <w:rPr>
          <w:rFonts w:hint="eastAsia" w:ascii="仿宋_GB2312" w:hAnsi="宋体" w:eastAsia="仿宋_GB2312" w:cs="宋体"/>
          <w:color w:val="000000"/>
          <w:kern w:val="0"/>
          <w:sz w:val="32"/>
          <w:szCs w:val="32"/>
          <w:highlight w:val="none"/>
        </w:rPr>
        <w:t>。</w:t>
      </w:r>
    </w:p>
    <w:p w14:paraId="46BDE85A">
      <w:pPr>
        <w:spacing w:line="600" w:lineRule="exact"/>
        <w:ind w:left="105" w:leftChars="50" w:firstLine="480" w:firstLineChars="150"/>
        <w:rPr>
          <w:rFonts w:hint="eastAsia" w:ascii="楷体_GB2312" w:eastAsia="楷体_GB2312"/>
          <w:sz w:val="32"/>
          <w:szCs w:val="32"/>
          <w:highlight w:val="none"/>
        </w:rPr>
      </w:pPr>
      <w:r>
        <w:rPr>
          <w:rFonts w:hint="eastAsia" w:ascii="楷体_GB2312" w:eastAsia="楷体_GB2312"/>
          <w:sz w:val="32"/>
          <w:szCs w:val="32"/>
          <w:highlight w:val="none"/>
        </w:rPr>
        <w:t>（二）资产管理</w:t>
      </w:r>
    </w:p>
    <w:p w14:paraId="0681C4A7">
      <w:pPr>
        <w:spacing w:line="600" w:lineRule="exact"/>
        <w:ind w:firstLine="640" w:firstLineChars="200"/>
        <w:rPr>
          <w:rFonts w:hint="eastAsia" w:ascii="仿宋_GB2312" w:hAnsi="宋体" w:eastAsia="仿宋_GB2312" w:cs="宋体"/>
          <w:color w:val="000000"/>
          <w:kern w:val="0"/>
          <w:sz w:val="32"/>
          <w:szCs w:val="32"/>
          <w:highlight w:val="none"/>
          <w:lang w:eastAsia="zh-CN"/>
        </w:rPr>
      </w:pPr>
      <w:r>
        <w:rPr>
          <w:rFonts w:hint="eastAsia" w:ascii="仿宋_GB2312" w:hAnsi="宋体" w:eastAsia="仿宋_GB2312" w:cs="宋体"/>
          <w:color w:val="000000"/>
          <w:kern w:val="0"/>
          <w:sz w:val="32"/>
          <w:szCs w:val="32"/>
          <w:highlight w:val="none"/>
          <w:lang w:eastAsia="zh-CN"/>
        </w:rPr>
        <w:t>截止202</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lang w:eastAsia="zh-CN"/>
        </w:rPr>
        <w:t>年12月31日，我部门总资产1,392.17万元，其中：财政应返还额度1,062.08万元，占总资产76.29%；固定资产净值235.12万元，占总资产16.89%；无形资产净值30.27万元，占总资产2.17%；货币资金64.69万元，占总资产4.65%。本部门暂无长期投资、在建工程、公共基础设施、政府储备物资、保障性住房等重要资产。</w:t>
      </w:r>
    </w:p>
    <w:p w14:paraId="6D47EB6D">
      <w:pPr>
        <w:spacing w:line="600" w:lineRule="exact"/>
        <w:ind w:left="105" w:leftChars="50" w:firstLine="480" w:firstLineChars="150"/>
        <w:rPr>
          <w:rFonts w:hint="eastAsia" w:ascii="楷体_GB2312" w:eastAsia="楷体_GB2312"/>
          <w:sz w:val="32"/>
          <w:szCs w:val="32"/>
          <w:highlight w:val="none"/>
        </w:rPr>
      </w:pPr>
      <w:r>
        <w:rPr>
          <w:rFonts w:hint="eastAsia" w:ascii="仿宋_GB2312" w:hAnsi="宋体" w:eastAsia="仿宋_GB2312" w:cs="宋体"/>
          <w:color w:val="000000"/>
          <w:kern w:val="0"/>
          <w:sz w:val="32"/>
          <w:szCs w:val="32"/>
          <w:highlight w:val="none"/>
          <w:lang w:eastAsia="zh-CN"/>
        </w:rPr>
        <w:t>202</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lang w:eastAsia="zh-CN"/>
        </w:rPr>
        <w:t>年我部门按照《北京怀柔科学城管理委员会资产管理制度（试行）》制度对部门资产进行管理，严格执行使用怀柔科学城固定资产、办公用品领用申请单、资产报废审批单等内部审核单据。各处室设立专门的资产管理员，所有固定资产登记、物品领用由资产管理员统一负责。本年度办公室、财经处牵头对现有资产进行全面盘点分类，登记造册；并按市级要求完成202</w:t>
      </w: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lang w:eastAsia="zh-CN"/>
        </w:rPr>
        <w:t>年行政事业单位国有资产年报上报。后续我部门将加大资产管理力度，结合内部控制制度、手册，规范资产预算申报-资产采购-资产管理-资产处置等一系列流程，做到合理购置，有效分配，合理使用的资产管理目标。</w:t>
      </w:r>
    </w:p>
    <w:p w14:paraId="254829F8">
      <w:pPr>
        <w:spacing w:line="600" w:lineRule="exact"/>
        <w:ind w:left="105" w:leftChars="50" w:firstLine="480" w:firstLineChars="150"/>
        <w:rPr>
          <w:rFonts w:ascii="楷体_GB2312" w:eastAsia="楷体_GB2312"/>
          <w:sz w:val="32"/>
          <w:szCs w:val="32"/>
          <w:highlight w:val="none"/>
        </w:rPr>
      </w:pPr>
      <w:r>
        <w:rPr>
          <w:rFonts w:hint="eastAsia" w:ascii="楷体_GB2312" w:eastAsia="楷体_GB2312"/>
          <w:sz w:val="32"/>
          <w:szCs w:val="32"/>
          <w:highlight w:val="none"/>
        </w:rPr>
        <w:t>（三）绩效</w:t>
      </w:r>
      <w:r>
        <w:rPr>
          <w:rFonts w:ascii="楷体_GB2312" w:eastAsia="楷体_GB2312"/>
          <w:sz w:val="32"/>
          <w:szCs w:val="32"/>
          <w:highlight w:val="none"/>
        </w:rPr>
        <w:t>管理</w:t>
      </w:r>
    </w:p>
    <w:p w14:paraId="332E5953">
      <w:pPr>
        <w:pStyle w:val="4"/>
        <w:ind w:firstLine="640" w:firstLineChars="200"/>
        <w:rPr>
          <w:rFonts w:hint="eastAsia"/>
        </w:rPr>
      </w:pPr>
      <w:r>
        <w:rPr>
          <w:rFonts w:hint="eastAsia"/>
          <w:lang w:eastAsia="zh-CN"/>
        </w:rPr>
        <w:t>部门</w:t>
      </w:r>
      <w:r>
        <w:rPr>
          <w:rFonts w:hint="eastAsia"/>
        </w:rPr>
        <w:t>深入贯彻市委、市政府《关于全面实施预算绩效管理的实施意见》、《北京市预算绩效管理办法》等文件要求，围绕部门职责，以预算资金管理为主线，统筹考虑资金和业务活动，从运行成本、管理效率、履职效能、社会效益、可持续发展能力和服务对象满意度等方面，衡量业务实施效果。</w:t>
      </w:r>
    </w:p>
    <w:p w14:paraId="4EF3FD6F">
      <w:pPr>
        <w:pStyle w:val="4"/>
        <w:ind w:firstLine="640" w:firstLineChars="200"/>
        <w:rPr>
          <w:rFonts w:ascii="楷体_GB2312" w:eastAsia="楷体_GB2312"/>
          <w:sz w:val="32"/>
          <w:szCs w:val="32"/>
          <w:highlight w:val="none"/>
        </w:rPr>
      </w:pPr>
      <w:r>
        <w:rPr>
          <w:rFonts w:hint="eastAsia"/>
        </w:rPr>
        <w:t>202</w:t>
      </w:r>
      <w:r>
        <w:rPr>
          <w:rFonts w:hint="eastAsia"/>
          <w:lang w:val="en-US" w:eastAsia="zh-CN"/>
        </w:rPr>
        <w:t>2</w:t>
      </w:r>
      <w:r>
        <w:rPr>
          <w:rFonts w:hint="eastAsia"/>
        </w:rPr>
        <w:t>年，管委会评价项目</w:t>
      </w:r>
      <w:r>
        <w:rPr>
          <w:rFonts w:hint="eastAsia"/>
          <w:lang w:val="en-US" w:eastAsia="zh-CN"/>
        </w:rPr>
        <w:t>20</w:t>
      </w:r>
      <w:r>
        <w:rPr>
          <w:rFonts w:hint="eastAsia"/>
        </w:rPr>
        <w:t>个，占部门</w:t>
      </w:r>
      <w:r>
        <w:rPr>
          <w:rFonts w:hint="eastAsia"/>
          <w:lang w:eastAsia="zh-CN"/>
        </w:rPr>
        <w:t>执行</w:t>
      </w:r>
      <w:r>
        <w:rPr>
          <w:rFonts w:hint="eastAsia"/>
        </w:rPr>
        <w:t>项目总数的100%，涉及金额</w:t>
      </w:r>
      <w:r>
        <w:rPr>
          <w:rFonts w:hint="eastAsia" w:ascii="仿宋_GB2312" w:eastAsia="仿宋_GB2312"/>
          <w:sz w:val="32"/>
          <w:szCs w:val="32"/>
        </w:rPr>
        <w:t>25,416.26</w:t>
      </w:r>
      <w:r>
        <w:rPr>
          <w:rFonts w:hint="eastAsia"/>
        </w:rPr>
        <w:t>万元。其中</w:t>
      </w:r>
      <w:r>
        <w:rPr>
          <w:rFonts w:hint="eastAsia"/>
          <w:lang w:val="en-US" w:eastAsia="zh-CN"/>
        </w:rPr>
        <w:t>20</w:t>
      </w:r>
      <w:r>
        <w:rPr>
          <w:rFonts w:hint="eastAsia"/>
        </w:rPr>
        <w:t>个项目采取简易程序填报《项目支出绩效自评表》的形式开展；</w:t>
      </w:r>
      <w:r>
        <w:rPr>
          <w:rFonts w:hint="eastAsia"/>
          <w:lang w:eastAsia="zh-CN"/>
        </w:rPr>
        <w:t>且</w:t>
      </w:r>
      <w:r>
        <w:rPr>
          <w:rFonts w:hint="eastAsia"/>
        </w:rPr>
        <w:t>怀柔科学城科学仪器与传感器产业创新发展财政扶持项目</w:t>
      </w:r>
      <w:r>
        <w:rPr>
          <w:rFonts w:hint="eastAsia"/>
          <w:lang w:eastAsia="zh-CN"/>
        </w:rPr>
        <w:t>同步</w:t>
      </w:r>
      <w:r>
        <w:rPr>
          <w:rFonts w:hint="eastAsia"/>
        </w:rPr>
        <w:t>采取普通程序形成《项目支出绩效评价报告》</w:t>
      </w:r>
      <w:r>
        <w:rPr>
          <w:rFonts w:hint="eastAsia"/>
          <w:lang w:eastAsia="zh-CN"/>
        </w:rPr>
        <w:t>。</w:t>
      </w:r>
      <w:r>
        <w:rPr>
          <w:rFonts w:hint="eastAsia"/>
          <w:lang w:val="en-US" w:eastAsia="zh-CN"/>
        </w:rPr>
        <w:t>另，年初批复中6个项目，涉及金额</w:t>
      </w:r>
      <w:r>
        <w:rPr>
          <w:rFonts w:hint="eastAsia" w:ascii="仿宋_GB2312" w:eastAsia="仿宋_GB2312"/>
          <w:sz w:val="32"/>
          <w:szCs w:val="32"/>
        </w:rPr>
        <w:t>398.94</w:t>
      </w:r>
      <w:r>
        <w:rPr>
          <w:rFonts w:hint="eastAsia"/>
          <w:lang w:val="en-US" w:eastAsia="zh-CN"/>
        </w:rPr>
        <w:t>万元，因故未执行，项目资金已按要求上缴财政，</w:t>
      </w:r>
      <w:r>
        <w:rPr>
          <w:rFonts w:hint="eastAsia" w:ascii="仿宋_GB2312" w:eastAsia="仿宋_GB2312"/>
          <w:sz w:val="32"/>
          <w:szCs w:val="32"/>
          <w:lang w:val="en-US" w:eastAsia="zh-CN"/>
        </w:rPr>
        <w:t>未纳入部门绩效评价范围</w:t>
      </w:r>
      <w:r>
        <w:rPr>
          <w:rFonts w:hint="eastAsia" w:ascii="仿宋_GB2312" w:eastAsia="仿宋_GB2312"/>
          <w:sz w:val="32"/>
          <w:szCs w:val="32"/>
        </w:rPr>
        <w:t>。</w:t>
      </w:r>
    </w:p>
    <w:p w14:paraId="6987F26E">
      <w:pPr>
        <w:spacing w:line="600" w:lineRule="exact"/>
        <w:ind w:left="105" w:leftChars="50" w:firstLine="480" w:firstLineChars="150"/>
        <w:rPr>
          <w:rFonts w:hint="eastAsia" w:ascii="楷体_GB2312" w:eastAsia="楷体_GB2312"/>
          <w:sz w:val="32"/>
          <w:szCs w:val="32"/>
          <w:highlight w:val="none"/>
        </w:rPr>
      </w:pPr>
      <w:r>
        <w:rPr>
          <w:rFonts w:hint="eastAsia" w:ascii="楷体_GB2312" w:eastAsia="楷体_GB2312"/>
          <w:sz w:val="32"/>
          <w:szCs w:val="32"/>
          <w:highlight w:val="none"/>
        </w:rPr>
        <w:t>（四）结转结余率</w:t>
      </w:r>
    </w:p>
    <w:p w14:paraId="2A6F0A81">
      <w:pPr>
        <w:spacing w:line="600" w:lineRule="exact"/>
        <w:ind w:left="105" w:leftChars="50" w:firstLine="480" w:firstLineChars="150"/>
        <w:rPr>
          <w:rFonts w:hint="eastAsia" w:ascii="仿宋_GB2312" w:eastAsia="仿宋_GB2312"/>
          <w:sz w:val="32"/>
          <w:szCs w:val="32"/>
          <w:lang w:val="en-US" w:eastAsia="zh-CN"/>
        </w:rPr>
      </w:pPr>
      <w:r>
        <w:rPr>
          <w:rFonts w:hint="eastAsia" w:ascii="仿宋_GB2312" w:eastAsia="仿宋_GB2312"/>
          <w:sz w:val="32"/>
          <w:szCs w:val="32"/>
          <w:lang w:val="en-US" w:eastAsia="zh-CN"/>
        </w:rPr>
        <w:t>部门2022年结转结余资金为1,126.08万元，其中：财政拨款结转结余1,062.08万元，非财政拨款结转结余64.00万元。结转结余率为0.51%。</w:t>
      </w:r>
    </w:p>
    <w:p w14:paraId="0E2DCCBA">
      <w:pPr>
        <w:spacing w:line="600" w:lineRule="exact"/>
        <w:ind w:left="105" w:leftChars="50" w:firstLine="480" w:firstLineChars="150"/>
        <w:rPr>
          <w:rFonts w:hint="eastAsia" w:ascii="楷体_GB2312" w:eastAsia="楷体_GB2312"/>
          <w:sz w:val="32"/>
          <w:szCs w:val="32"/>
          <w:highlight w:val="none"/>
        </w:rPr>
      </w:pPr>
      <w:r>
        <w:rPr>
          <w:rFonts w:hint="eastAsia" w:ascii="仿宋_GB2312" w:eastAsia="仿宋_GB2312"/>
          <w:sz w:val="32"/>
          <w:szCs w:val="32"/>
          <w:lang w:val="en-US" w:eastAsia="zh-CN"/>
        </w:rPr>
        <w:t>财政拨款结转结余包括基本支出经费结转和结余57.66 万元，主要为公用经费结余，下年度年初上缴财政；项目支出经费结转和结余1,004.42万元，全部为年初预算批复项目结转和结余，结转和结余原因主要受疫情影响，相关项目未进行开展或规模相应减小，实际支出相对预算有所减少，结转项目资金下年度年初上缴财政。非财政拨款结转结余64.00万元，具体为2022年度怀柔科学城博士后工作站博士后管理与资助项目资金，因北京市人力资源和社会保障局10月末拨付此项经费，部门暂未形成分配方案造成非财政拨款结转。</w:t>
      </w:r>
    </w:p>
    <w:p w14:paraId="1999FF7B">
      <w:pPr>
        <w:spacing w:line="600" w:lineRule="exact"/>
        <w:ind w:left="105" w:leftChars="50" w:firstLine="480" w:firstLineChars="150"/>
        <w:rPr>
          <w:rFonts w:ascii="楷体_GB2312" w:eastAsia="楷体_GB2312"/>
          <w:sz w:val="32"/>
          <w:szCs w:val="32"/>
          <w:highlight w:val="none"/>
        </w:rPr>
      </w:pPr>
      <w:r>
        <w:rPr>
          <w:rFonts w:hint="eastAsia" w:ascii="楷体_GB2312" w:eastAsia="楷体_GB2312"/>
          <w:sz w:val="32"/>
          <w:szCs w:val="32"/>
          <w:highlight w:val="none"/>
        </w:rPr>
        <w:t>（五）部门</w:t>
      </w:r>
      <w:r>
        <w:rPr>
          <w:rFonts w:ascii="楷体_GB2312" w:eastAsia="楷体_GB2312"/>
          <w:sz w:val="32"/>
          <w:szCs w:val="32"/>
          <w:highlight w:val="none"/>
        </w:rPr>
        <w:t>预决算差异率</w:t>
      </w:r>
    </w:p>
    <w:p w14:paraId="0A0BA022">
      <w:pPr>
        <w:pStyle w:val="4"/>
        <w:ind w:firstLine="640" w:firstLineChars="200"/>
        <w:rPr>
          <w:rFonts w:hint="eastAsia"/>
          <w:lang w:val="en-US" w:eastAsia="zh-CN"/>
        </w:rPr>
      </w:pPr>
      <w:r>
        <w:rPr>
          <w:rFonts w:hint="eastAsia"/>
          <w:lang w:val="en-US" w:eastAsia="zh-CN"/>
        </w:rPr>
        <w:t>我部门2022年收入决算数总计222,730.50万元，比年初预算数收入总计132,691.83万元增加90,038.67万元，差异率67.86%。收入差异主要为：</w:t>
      </w:r>
    </w:p>
    <w:p w14:paraId="593A22C7">
      <w:pPr>
        <w:pStyle w:val="4"/>
        <w:ind w:firstLine="640" w:firstLineChars="200"/>
        <w:rPr>
          <w:rFonts w:hint="eastAsia"/>
          <w:lang w:val="en-US" w:eastAsia="zh-CN"/>
        </w:rPr>
      </w:pPr>
      <w:r>
        <w:rPr>
          <w:rFonts w:hint="eastAsia"/>
          <w:lang w:val="en-US" w:eastAsia="zh-CN"/>
        </w:rPr>
        <w:t>1.根据京财科文指﹝2022﹞2764号《北京市财政局关于调整2022年统发人员经费的函》核减资金25.26万元。</w:t>
      </w:r>
    </w:p>
    <w:p w14:paraId="0672C629">
      <w:pPr>
        <w:pStyle w:val="4"/>
        <w:ind w:firstLine="640" w:firstLineChars="200"/>
        <w:rPr>
          <w:rFonts w:hint="eastAsia"/>
          <w:lang w:val="en-US" w:eastAsia="zh-CN"/>
        </w:rPr>
      </w:pPr>
      <w:r>
        <w:rPr>
          <w:rFonts w:hint="eastAsia"/>
          <w:lang w:val="en-US" w:eastAsia="zh-CN"/>
        </w:rPr>
        <w:t>2.根据京财科文指﹝2022﹞1773号核减部门预算一般性支出19.67万元。</w:t>
      </w:r>
    </w:p>
    <w:p w14:paraId="7A2BDE7E">
      <w:pPr>
        <w:pStyle w:val="4"/>
        <w:ind w:firstLine="640" w:firstLineChars="200"/>
        <w:rPr>
          <w:rFonts w:hint="eastAsia"/>
          <w:lang w:val="en-US" w:eastAsia="zh-CN"/>
        </w:rPr>
      </w:pPr>
      <w:r>
        <w:rPr>
          <w:rFonts w:hint="eastAsia"/>
          <w:lang w:val="en-US" w:eastAsia="zh-CN"/>
        </w:rPr>
        <w:t>3.追加项目资金合计90,000.00万元，为第三期怀柔科学城公司注册资本金，批复文件：《北京市财政局关于追加北京怀柔科学城管理委员会怀柔科学城公司注册资本金经费预算的函》（京财科文指﹝2022﹞2085号）。</w:t>
      </w:r>
    </w:p>
    <w:p w14:paraId="40BF2B69">
      <w:pPr>
        <w:pStyle w:val="4"/>
        <w:ind w:firstLine="640" w:firstLineChars="200"/>
        <w:rPr>
          <w:rFonts w:hint="eastAsia"/>
          <w:lang w:val="en-US" w:eastAsia="zh-CN"/>
        </w:rPr>
      </w:pPr>
      <w:r>
        <w:rPr>
          <w:rFonts w:hint="eastAsia"/>
          <w:lang w:val="en-US" w:eastAsia="zh-CN"/>
        </w:rPr>
        <w:t>4.追加基本资金3.6万元，批复文件：《北京市财政局关于追加北京怀柔科学城管理委员会人员经费预算的函》（京财科文指﹝2022﹞1423号 ）。</w:t>
      </w:r>
    </w:p>
    <w:p w14:paraId="03D89A86">
      <w:pPr>
        <w:pStyle w:val="4"/>
        <w:ind w:firstLine="640" w:firstLineChars="200"/>
        <w:rPr>
          <w:rFonts w:ascii="楷体_GB2312" w:eastAsia="楷体_GB2312"/>
          <w:sz w:val="32"/>
          <w:szCs w:val="32"/>
          <w:highlight w:val="none"/>
        </w:rPr>
      </w:pPr>
      <w:r>
        <w:rPr>
          <w:rFonts w:hint="eastAsia"/>
          <w:lang w:val="en-US" w:eastAsia="zh-CN"/>
        </w:rPr>
        <w:t>3.其他收入为市人保局博士后管理与资助项目经费，2021年结转16.00万元;2022年收入64.00万元。</w:t>
      </w:r>
    </w:p>
    <w:p w14:paraId="7F00EB3E">
      <w:pPr>
        <w:spacing w:line="600" w:lineRule="exact"/>
        <w:ind w:left="105" w:leftChars="50" w:firstLine="480" w:firstLineChars="150"/>
        <w:rPr>
          <w:rFonts w:ascii="黑体" w:hAnsi="黑体" w:eastAsia="黑体"/>
          <w:sz w:val="32"/>
          <w:szCs w:val="32"/>
          <w:highlight w:val="none"/>
        </w:rPr>
      </w:pPr>
      <w:r>
        <w:rPr>
          <w:rFonts w:hint="eastAsia" w:ascii="黑体" w:hAnsi="黑体" w:eastAsia="黑体"/>
          <w:sz w:val="32"/>
          <w:szCs w:val="32"/>
          <w:highlight w:val="none"/>
        </w:rPr>
        <w:t>五、总体</w:t>
      </w:r>
      <w:r>
        <w:rPr>
          <w:rFonts w:ascii="黑体" w:hAnsi="黑体" w:eastAsia="黑体"/>
          <w:sz w:val="32"/>
          <w:szCs w:val="32"/>
          <w:highlight w:val="none"/>
        </w:rPr>
        <w:t>评价结论</w:t>
      </w:r>
    </w:p>
    <w:p w14:paraId="021A1E82">
      <w:p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14:paraId="4A778885">
      <w:pPr>
        <w:spacing w:line="600" w:lineRule="exact"/>
        <w:ind w:left="105" w:leftChars="50" w:firstLine="480" w:firstLineChars="150"/>
        <w:rPr>
          <w:rFonts w:hint="eastAsia" w:ascii="仿宋_GB2312" w:hAnsi="仿宋_GB2312" w:eastAsia="仿宋_GB2312" w:cs="仿宋_GB2312"/>
          <w:sz w:val="32"/>
          <w:szCs w:val="32"/>
          <w:lang w:eastAsia="zh-CN"/>
        </w:rPr>
      </w:pPr>
      <w:r>
        <w:rPr>
          <w:rFonts w:hint="eastAsia" w:ascii="楷体_GB2312" w:eastAsia="楷体_GB2312"/>
          <w:sz w:val="32"/>
          <w:szCs w:val="32"/>
          <w:lang w:val="en-US" w:eastAsia="zh-CN"/>
        </w:rPr>
        <w:t>1.</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北京怀柔科学城管理委员会部门部门整体支出绩效评估考核结果是</w:t>
      </w:r>
      <w:r>
        <w:rPr>
          <w:rFonts w:hint="eastAsia" w:ascii="仿宋_GB2312" w:hAnsi="仿宋_GB2312" w:eastAsia="仿宋_GB2312" w:cs="仿宋_GB2312"/>
          <w:sz w:val="32"/>
          <w:szCs w:val="32"/>
          <w:shd w:val="clear" w:color="auto" w:fill="auto"/>
          <w:lang w:eastAsia="zh-CN"/>
        </w:rPr>
        <w:t>优秀</w:t>
      </w:r>
      <w:r>
        <w:rPr>
          <w:rFonts w:hint="eastAsia" w:ascii="仿宋_GB2312" w:hAnsi="仿宋_GB2312" w:eastAsia="仿宋_GB2312" w:cs="仿宋_GB2312"/>
          <w:sz w:val="32"/>
          <w:szCs w:val="32"/>
          <w:lang w:eastAsia="zh-CN"/>
        </w:rPr>
        <w:t>。</w:t>
      </w:r>
    </w:p>
    <w:p w14:paraId="43F8AFEF">
      <w:pPr>
        <w:spacing w:line="600" w:lineRule="exact"/>
        <w:ind w:left="105" w:leftChars="50" w:firstLine="480" w:firstLineChars="15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2.自评得分情况：</w:t>
      </w:r>
    </w:p>
    <w:p w14:paraId="711A280E">
      <w:pPr>
        <w:spacing w:line="600" w:lineRule="exact"/>
        <w:ind w:left="105" w:leftChars="50" w:firstLine="480" w:firstLineChars="15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根据年初的绩效考核工作计划和目标，</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lang w:eastAsia="zh-CN"/>
        </w:rPr>
        <w:t>我部门认真贯彻党的二十大精神，按照市委、市政府关于突破怀柔科学城的决策部署，进一步聚焦综合性国家科学中心建设，努力把怀柔综合性国家科</w:t>
      </w:r>
      <w:bookmarkStart w:id="1" w:name="_GoBack"/>
      <w:bookmarkEnd w:id="1"/>
      <w:r>
        <w:rPr>
          <w:rFonts w:hint="eastAsia" w:ascii="仿宋_GB2312" w:hAnsi="仿宋_GB2312" w:eastAsia="仿宋_GB2312" w:cs="仿宋_GB2312"/>
          <w:sz w:val="32"/>
          <w:szCs w:val="32"/>
          <w:lang w:eastAsia="zh-CN"/>
        </w:rPr>
        <w:t>学中心建设成为世界级原始创新高地；较好地完成了全年的目标工作任务。自评为</w:t>
      </w:r>
      <w:r>
        <w:rPr>
          <w:rFonts w:hint="eastAsia" w:ascii="仿宋_GB2312" w:hAnsi="仿宋_GB2312" w:eastAsia="仿宋_GB2312" w:cs="仿宋_GB2312"/>
          <w:sz w:val="32"/>
          <w:szCs w:val="32"/>
          <w:shd w:val="clear" w:color="auto" w:fill="auto"/>
          <w:lang w:eastAsia="zh-CN"/>
        </w:rPr>
        <w:t>9</w:t>
      </w:r>
      <w:r>
        <w:rPr>
          <w:rFonts w:hint="eastAsia" w:ascii="仿宋_GB2312" w:hAnsi="仿宋_GB2312" w:eastAsia="仿宋_GB2312" w:cs="仿宋_GB2312"/>
          <w:sz w:val="32"/>
          <w:szCs w:val="32"/>
          <w:shd w:val="clear" w:color="auto" w:fill="auto"/>
          <w:lang w:val="en-US" w:eastAsia="zh-CN"/>
        </w:rPr>
        <w:t>0</w:t>
      </w:r>
      <w:r>
        <w:rPr>
          <w:rFonts w:hint="eastAsia" w:ascii="仿宋_GB2312" w:hAnsi="仿宋_GB2312" w:eastAsia="仿宋_GB2312" w:cs="仿宋_GB2312"/>
          <w:sz w:val="32"/>
          <w:szCs w:val="32"/>
          <w:shd w:val="clear" w:color="auto" w:fill="auto"/>
          <w:lang w:eastAsia="zh-CN"/>
        </w:rPr>
        <w:t>.</w:t>
      </w:r>
      <w:r>
        <w:rPr>
          <w:rFonts w:hint="eastAsia" w:ascii="仿宋_GB2312" w:hAnsi="仿宋_GB2312" w:eastAsia="仿宋_GB2312" w:cs="仿宋_GB2312"/>
          <w:sz w:val="32"/>
          <w:szCs w:val="32"/>
          <w:shd w:val="clear" w:color="auto" w:fill="auto"/>
          <w:lang w:val="en-US" w:eastAsia="zh-CN"/>
        </w:rPr>
        <w:t>8</w:t>
      </w:r>
      <w:r>
        <w:rPr>
          <w:rFonts w:hint="eastAsia" w:ascii="仿宋_GB2312" w:hAnsi="仿宋_GB2312" w:eastAsia="仿宋_GB2312" w:cs="仿宋_GB2312"/>
          <w:sz w:val="32"/>
          <w:szCs w:val="32"/>
          <w:shd w:val="clear" w:color="auto" w:fill="auto"/>
          <w:lang w:eastAsia="zh-CN"/>
        </w:rPr>
        <w:t xml:space="preserve"> </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highlight w:val="none"/>
          <w:lang w:eastAsia="zh-CN"/>
        </w:rPr>
        <w:t>详见附件：部门整体支出绩效评价指标表</w:t>
      </w:r>
      <w:r>
        <w:rPr>
          <w:rFonts w:hint="eastAsia" w:ascii="仿宋_GB2312" w:hAnsi="仿宋_GB2312" w:eastAsia="仿宋_GB2312" w:cs="仿宋_GB2312"/>
          <w:sz w:val="32"/>
          <w:szCs w:val="32"/>
          <w:lang w:eastAsia="zh-CN"/>
        </w:rPr>
        <w:t>）</w:t>
      </w:r>
    </w:p>
    <w:p w14:paraId="1C5E13F7">
      <w:p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（二）存在的问题及原因分析</w:t>
      </w:r>
    </w:p>
    <w:p w14:paraId="4CB96320">
      <w:pPr>
        <w:pStyle w:val="4"/>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1.预算管理相关的业务人员对绩效工作的熟悉程度不够。绩效管理和项目管理两个维度，造成绩效目标设置与偏差较大，绩效监控针对性不强。</w:t>
      </w:r>
    </w:p>
    <w:p w14:paraId="38905C93">
      <w:pPr>
        <w:pStyle w:val="4"/>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2.编报绩效目标时间与部门预算同步，业务处室对项目前期工作不够深入，项目定位、功能、实施内容梳理不够，造成绩效指标细化量化不够，定性指标多，定量指标少，而且指标值相对模糊 ，不科学。也直接影响到预算绩效评价结果的反馈与应用。</w:t>
      </w:r>
    </w:p>
    <w:p w14:paraId="19B21F31">
      <w:pPr>
        <w:pStyle w:val="4"/>
        <w:ind w:firstLine="640" w:firstLineChars="200"/>
        <w:rPr>
          <w:rFonts w:hint="eastAsia" w:ascii="仿宋_GB2312" w:hAnsi="仿宋_GB2312" w:eastAsia="仿宋_GB2312" w:cs="仿宋_GB2312"/>
          <w:lang w:eastAsia="zh-CN"/>
        </w:rPr>
      </w:pPr>
      <w:r>
        <w:rPr>
          <w:rFonts w:hint="eastAsia" w:ascii="仿宋_GB2312" w:hAnsi="仿宋_GB2312" w:eastAsia="仿宋_GB2312" w:cs="仿宋_GB2312"/>
          <w:sz w:val="32"/>
          <w:szCs w:val="32"/>
          <w:lang w:eastAsia="zh-CN"/>
        </w:rPr>
        <w:t>3.预算执行进度较慢，由于疫情原因，部分项目暂缓执行。</w:t>
      </w:r>
    </w:p>
    <w:p w14:paraId="36E0DC99">
      <w:pPr>
        <w:spacing w:line="600" w:lineRule="exact"/>
        <w:ind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六、措施建议</w:t>
      </w:r>
    </w:p>
    <w:p w14:paraId="549F0F13">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（一）内部加强宣传，深化绩效管理认知</w:t>
      </w:r>
    </w:p>
    <w:p w14:paraId="6AF61A6C">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大力宣传绩效理念和成本意识，围绕政策、制度、方法和操作流程等，开展不同层次的预算绩效管理培训，提高预算绩效管理人员和业务人员的业务素质和能力水平。</w:t>
      </w:r>
    </w:p>
    <w:p w14:paraId="4F9333F8">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（二）绩效管理相关工作前置化，提高绩效编制质量</w:t>
      </w:r>
    </w:p>
    <w:p w14:paraId="1A9E9192">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将项目定位、功能、实施内容梳理前置化，进一步提高项目成熟度。将绩效理念和方法全面融入事前、事中、事后闭环管理，提升绩效目标编制质量。</w:t>
      </w:r>
    </w:p>
    <w:p w14:paraId="3860C9CA">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（三）加强绩效结果应用，严格考核监督，强化责任约束</w:t>
      </w:r>
    </w:p>
    <w:p w14:paraId="069FE172">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rPr>
        <w:t>进一步完善绩效评价体系，加强绩效考核结果与管理考核制度相结合，切实做到花钱必问效，无效必问责。有效提升管理效率。</w:t>
      </w:r>
    </w:p>
    <w:p w14:paraId="5A673CF0">
      <w:pPr>
        <w:pStyle w:val="2"/>
        <w:rPr>
          <w:sz w:val="32"/>
          <w:szCs w:val="32"/>
          <w:highlight w:val="none"/>
        </w:rPr>
      </w:pPr>
      <w:bookmarkStart w:id="0" w:name="_Toc103006301"/>
      <w:r>
        <w:rPr>
          <w:rFonts w:hint="eastAsia"/>
          <w:sz w:val="32"/>
          <w:szCs w:val="32"/>
          <w:highlight w:val="none"/>
        </w:rPr>
        <w:t>七、附件</w:t>
      </w:r>
      <w:bookmarkEnd w:id="0"/>
    </w:p>
    <w:p w14:paraId="721AFC97">
      <w:pPr>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eastAsia" w:ascii="方正小标宋简体" w:eastAsia="方正小标宋简体"/>
          <w:sz w:val="36"/>
          <w:szCs w:val="36"/>
          <w:lang w:val="en-US" w:eastAsia="zh-CN"/>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年部门整体绩效评价指标体系评分</w:t>
      </w:r>
      <w:r>
        <w:rPr>
          <w:rFonts w:hint="eastAsia" w:ascii="仿宋_GB2312" w:hAnsi="仿宋_GB2312" w:eastAsia="仿宋_GB2312" w:cs="仿宋_GB2312"/>
          <w:sz w:val="32"/>
          <w:szCs w:val="32"/>
          <w:highlight w:val="none"/>
          <w:lang w:eastAsia="zh-CN"/>
        </w:rPr>
        <w:t>表</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5E24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D7F443">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AD7F443">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121126E"/>
    <w:rsid w:val="032F490A"/>
    <w:rsid w:val="09FF7150"/>
    <w:rsid w:val="12C871D6"/>
    <w:rsid w:val="1429474B"/>
    <w:rsid w:val="142D04B3"/>
    <w:rsid w:val="175F53D8"/>
    <w:rsid w:val="17DE2219"/>
    <w:rsid w:val="18036E1A"/>
    <w:rsid w:val="21A52ED2"/>
    <w:rsid w:val="24EF7A3E"/>
    <w:rsid w:val="28FB59DC"/>
    <w:rsid w:val="2CE070DA"/>
    <w:rsid w:val="37173543"/>
    <w:rsid w:val="3A8F6B38"/>
    <w:rsid w:val="3D293058"/>
    <w:rsid w:val="3FDBA076"/>
    <w:rsid w:val="3FDFB3F0"/>
    <w:rsid w:val="3FDFC9A6"/>
    <w:rsid w:val="3FF76880"/>
    <w:rsid w:val="42C325EB"/>
    <w:rsid w:val="4F240D62"/>
    <w:rsid w:val="50EB5081"/>
    <w:rsid w:val="512E65FA"/>
    <w:rsid w:val="5BFD4AC2"/>
    <w:rsid w:val="67759716"/>
    <w:rsid w:val="6F7ED27B"/>
    <w:rsid w:val="70DE7F33"/>
    <w:rsid w:val="75B17A7C"/>
    <w:rsid w:val="7AB7FF50"/>
    <w:rsid w:val="7AEAF641"/>
    <w:rsid w:val="7BAD2729"/>
    <w:rsid w:val="7BC60C65"/>
    <w:rsid w:val="7BFEB0DB"/>
    <w:rsid w:val="7C816E32"/>
    <w:rsid w:val="7FFF4E81"/>
    <w:rsid w:val="7FFFD0D3"/>
    <w:rsid w:val="8716660E"/>
    <w:rsid w:val="A3AA735E"/>
    <w:rsid w:val="A75D4892"/>
    <w:rsid w:val="AFFFCE02"/>
    <w:rsid w:val="CEFD3F3D"/>
    <w:rsid w:val="D6B22E60"/>
    <w:rsid w:val="EA3F77F2"/>
    <w:rsid w:val="EEFE5989"/>
    <w:rsid w:val="EFCF3EAE"/>
    <w:rsid w:val="F4FDEB06"/>
    <w:rsid w:val="F5B764A2"/>
    <w:rsid w:val="F77F09F4"/>
    <w:rsid w:val="FBFF6E65"/>
    <w:rsid w:val="FEEF6AA0"/>
    <w:rsid w:val="FFB792B8"/>
    <w:rsid w:val="FFD7BFFC"/>
    <w:rsid w:val="FFFA6B0F"/>
    <w:rsid w:val="FFFFB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line="600" w:lineRule="exact"/>
      <w:ind w:firstLine="640"/>
      <w:outlineLvl w:val="0"/>
    </w:pPr>
    <w:rPr>
      <w:rFonts w:ascii="黑体" w:hAnsi="黑体" w:eastAsia="黑体" w:cs="宋体"/>
      <w:color w:val="000000"/>
      <w:kern w:val="0"/>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line="560" w:lineRule="exact"/>
    </w:pPr>
    <w:rPr>
      <w:rFonts w:ascii="仿宋_GB2312" w:hAnsi="宋体" w:eastAsia="仿宋_GB2312"/>
      <w:sz w:val="32"/>
      <w:szCs w:val="32"/>
    </w:r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6821</Words>
  <Characters>7212</Characters>
  <Lines>0</Lines>
  <Paragraphs>0</Paragraphs>
  <TotalTime>198</TotalTime>
  <ScaleCrop>false</ScaleCrop>
  <LinksUpToDate>false</LinksUpToDate>
  <CharactersWithSpaces>7216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2022-03-14T19:16:00Z</dcterms:created>
  <dc:creator>user</dc:creator>
  <cp:lastModifiedBy>依然</cp:lastModifiedBy>
  <cp:lastPrinted>2023-03-06T01:31:00Z</cp:lastPrinted>
  <dcterms:modified xsi:type="dcterms:W3CDTF">2025-10-20T06:17:43Z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eyJoZGlkIjoiNTY3ZmNmZDNlNjU3MTlmYjY0MTQzYWFjNjEwMDYzYmYiLCJ1c2VySWQiOiIxMTc2MDE0ODk4In0=</vt:lpwstr>
  </property>
  <property fmtid="{D5CDD505-2E9C-101B-9397-08002B2CF9AE}" pid="4" name="ICV">
    <vt:lpwstr>19F4474999584A098BC9524E6FC49FF3_12</vt:lpwstr>
  </property>
</Properties>
</file>